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Arbeitsentwurf zur geplanten Produktentscheidung</w:t>
      </w:r>
    </w:p>
    <w:p>
      <w:r>
        <w:t>Eichengrund Logistik GmbH</w:t>
        <w:br/>
        <w:t>Berthold Reitzenstein</w:t>
        <w:br/>
        <w:t>zur Überarbeitung</w:t>
        <w:br/>
        <w:t>9. Oktober 2026</w:t>
      </w:r>
    </w:p>
    <w:p>
      <w:pPr>
        <w:pStyle w:val="Heading1"/>
      </w:pPr>
      <w:r>
        <w:t>1 Zweck und Gegenstand</w:t>
      </w:r>
    </w:p>
    <w:p>
      <w:r>
        <w:t>Der vorliegende Entwurf soll die Entscheidung über die weitere Beschaffung der drei Anwendungen vorbereiten. Die endgültige Fassung soll für Taktweg Disposition, Teamstern Personaloption und Wächterkern S1 jeweils einen begründeten Prüfweg nennen und die dazugehörigen Nachweise zuordnen. Eine sofortige gemeinsame Betriebsfreigabe ist nicht Gegenstand dieses Entwurfs. Die angegebenen Startmonate sind Planungswünsche und müssen vor einer tatsächlichen Einführung erneut bestätigt werden.</w:t>
      </w:r>
    </w:p>
    <w:p>
      <w:r>
        <w:t>Die ursprüngliche Formulierung das Gesamtpaket ist durch ISO zertifiziert wird hier nicht als feststehende Tatsache übernommen. Der Nachweis betrifft eine Holdinggesellschaft und deren zentrale Beratung. Eine rechtliche Schlussfolgerung über die konkret angebotenen Systeme ist daraus noch zu entwickeln. Dabei soll die vorhandene Unterlage mit ihrem wirklichen Beweiswert berücksichtigt werden, ohne ihren Umfang zu erweitern.</w:t>
      </w:r>
    </w:p>
    <w:p>
      <w:pPr>
        <w:pStyle w:val="Heading1"/>
      </w:pPr>
      <w:r>
        <w:t>2 Bisheriger Tatsachenstand</w:t>
      </w:r>
    </w:p>
    <w:p>
      <w:r>
        <w:t>Die Disposition verarbeitet Sendungs- und Kapazitätsdaten. Die Personaloption verarbeitet Eigenschaften erfundener Beschäftigtenprofile und erzeugt eine Rangfolge. Wächterkern soll als eigenständige Komponente die Bewegung eines Roboters beeinflussen. Die Verträge über die spätere Integration und die Rollen der beteiligten Unternehmen sind offen. Die Endfassung soll auf dieser Grundlage erklären, welche tatsächlichen Merkmale für die getrennte Einordnung entscheidend sind.</w:t>
      </w:r>
    </w:p>
    <w:p>
      <w:r>
        <w:t>Bei der Disposition fehlen die vorgesehenen Nachtaufträge. Für die Sicherheitskomponente fehlen Nachtläufe mit dem vorgesehenen Sensorkopf; außerdem sind drei beobachtete Freigaben bei einem Hindernis aufzuklären. Die Personaloption ist fachlich noch nicht anhand einer vollständig beschriebenen Bedeutung des Merkmals Belastbarkeit beurteilt. Es wäre unzutreffend, sämtliche offenen Fragen als fehlende Formalunterlagen zu bezeichnen.</w:t>
      </w:r>
    </w:p>
    <w:p>
      <w:pPr>
        <w:pStyle w:val="Heading1"/>
      </w:pPr>
      <w:r>
        <w:t>3 Auszuarbeitender Verfahrensvermerk</w:t>
      </w:r>
    </w:p>
    <w:p>
      <w:r>
        <w:t>Hier ist die begründete Einordnung nach Funktion, tatsächlicher Rolle und Rechtsstand einzuarbeiten. Die endgültige Fassung soll für jeden Prüfpfad darlegen, welche Belege erforderlich sind, welche bereits vorliegen und welche konkrete Ergänzung die Entscheidung verändern könnte. Eine Normennennung ohne Ausgabe und ohne dokumentierte Anwendung darf nicht als geprüfte Anforderungserfüllung behandelt werden. Ebenso wenig soll pauschal angenommen werden, jedes KI-System benötige dieselbe externe Bescheinigung.</w:t>
      </w:r>
    </w:p>
    <w:p>
      <w:r>
        <w:t>Die Prüfung des Roboterpfads benötigt eine geklärte Produkt- und Sicherheitsfunktion sowie die einschlägigen Produktunterlagen. Für die Personaloption sind die geplante tatsächliche Nutzung und die Wirkung der Rangfolge zu klären. Für die reine Disposition ist zu prüfen, ob die behauptete Abtrennbarkeit technisch und vertraglich belastbar ist. Diese Absätze sollen nach Eingang der konkret angeforderten Tatsachen fortgeschrieben werden; ein allgemeines ISO-Glossar ersetzt sie nicht.</w:t>
      </w:r>
    </w:p>
    <w:p>
      <w:pPr>
        <w:pStyle w:val="Heading1"/>
      </w:pPr>
      <w:r>
        <w:t>4 Weitere Maßnahmen und Zeichnung</w:t>
      </w:r>
    </w:p>
    <w:p>
      <w:r>
        <w:t>Die Endfassung soll eine ausführbare Nachforderung an die jeweils zuständige Gesellschaft und einen klar abgegrenzten technischen Nachtestauftrag enthalten. Wo eine Entscheidung noch nicht möglich ist, sind die offene Tatsache, ihr Einfluss und der verantwortliche Ansprechpartner zu benennen. Eine tatsächliche Prüfung fremder Systeme oder Bestellung zusätzlicher Leistungen ist damit noch nicht genehmigt.</w:t>
      </w:r>
    </w:p>
    <w:p>
      <w:r>
        <w:t>Die abschließende Empfehlung, die konkrete Version und die verantwortliche Zeichnung werden nach Bearbeitung ergänzt. Bis dahin bleibt das Dokument ein interner Arbeitsentwurf. Neue Unterlagen werden in diese Fassung eingearbeitet und die betroffenen Aussagen sichtbar berichtigt. Ein neues Zertifikat mit erweitertem Organisationsumfang würde nicht automatisch fehlende Nachtmessungen ersetzen.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Eichengrund Logistik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zur geplanten Produktentscheidung</dc:title>
  <dc:subject>EL-26-219</dc:subject>
  <dc:creator>Eichengrund Logistik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