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INTERNER ENTWURF – Zeichen IZ-MF-2025-1749 – Sachbearbeitung: Frau Kowalczyk</w:t>
      </w:r>
    </w:p>
    <w:p>
      <w:pPr>
        <w:pStyle w:val="BodyText"/>
      </w:pPr>
      <w:r>
        <w:rPr>
          <w:i/>
          <w:iCs/>
        </w:rPr>
        <w:t xml:space="preserve">[vor Versand: Anlagen K 1 bis K 7 aus dem Übergabeordner zusammenstellen, als PDF aufbereiten, oben rechts als „Anlage K 1” usw. stempeln und mit der Klageschrift über beA einreichen; Ordner ist noch unsortiert, Dateinamen sagen nichts]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InkassoZentrale GmbH · Friedrich-Krause-Ufer 42 · 13353 Berlin</w:t>
      </w:r>
      <w:r>
        <w:t xml:space="preserve"> </w:t>
      </w:r>
      <w:r>
        <w:t xml:space="preserve">Registriert nach § 10 Abs. 1 Satz 1 Nr. 1 RDG (Registrierungs-Nr. RDG-B-2214, Kammergericht)</w:t>
      </w:r>
      <w:r>
        <w:t xml:space="preserve"> </w:t>
      </w:r>
      <w:r>
        <w:t xml:space="preserve">Geschäftsführer: Dr. Marvin Rüter, Constanze Lehnhardt · HRB 227771 B, AG Charlottenburg</w:t>
      </w:r>
    </w:p>
    <w:p>
      <w:pPr>
        <w:pStyle w:val="BodyText"/>
      </w:pPr>
      <w:r>
        <w:t xml:space="preserve">An das</w:t>
      </w:r>
      <w:r>
        <w:t xml:space="preserve"> </w:t>
      </w:r>
      <w:r>
        <w:rPr>
          <w:b/>
          <w:bCs/>
        </w:rPr>
        <w:t xml:space="preserve">Amtsgericht Nürnberg</w:t>
      </w:r>
      <w:r>
        <w:t xml:space="preserve"> </w:t>
      </w:r>
      <w:r>
        <w:t xml:space="preserve">– Zivilabteilung –</w:t>
      </w:r>
      <w:r>
        <w:t xml:space="preserve"> </w:t>
      </w:r>
      <w:r>
        <w:t xml:space="preserve">Fürther Straße 110</w:t>
      </w:r>
      <w:r>
        <w:t xml:space="preserve"> </w:t>
      </w:r>
      <w:r>
        <w:t xml:space="preserve">90429 Nürnberg</w:t>
      </w:r>
    </w:p>
    <w:p>
      <w:pPr>
        <w:pStyle w:val="BodyText"/>
      </w:pPr>
      <w:r>
        <w:t xml:space="preserve">Berlin, den ____________</w:t>
      </w:r>
      <w:r>
        <w:t xml:space="preserve"> </w:t>
      </w:r>
      <w:r>
        <w:rPr>
          <w:i/>
          <w:iCs/>
        </w:rPr>
        <w:t xml:space="preserve">(Datum bei Versand)</w:t>
      </w:r>
    </w:p>
    <w:bookmarkStart w:id="25" w:name="klage"/>
    <w:p>
      <w:pPr>
        <w:pStyle w:val="Heading1"/>
      </w:pPr>
      <w:r>
        <w:t xml:space="preserve">Klage</w:t>
      </w:r>
    </w:p>
    <w:p>
      <w:pPr>
        <w:pStyle w:val="FirstParagraph"/>
      </w:pPr>
      <w:r>
        <w:rPr>
          <w:b/>
          <w:bCs/>
        </w:rPr>
        <w:t xml:space="preserve">der InkassoZentrale GmbH</w:t>
      </w:r>
      <w:r>
        <w:t xml:space="preserve">, Friedrich-Krause-Ufer 42, 13353 Berlin, vertreten durch die Geschäftsführer Dr. Marvin Rüter und Constanze Lehnhardt,</w:t>
      </w:r>
    </w:p>
    <w:p>
      <w:pPr>
        <w:pStyle w:val="BodyText"/>
      </w:pPr>
      <w:r>
        <w:t xml:space="preserve">– Klägerin –</w:t>
      </w:r>
    </w:p>
    <w:p>
      <w:pPr>
        <w:pStyle w:val="BodyText"/>
      </w:pPr>
      <w:r>
        <w:rPr>
          <w:b/>
          <w:bCs/>
        </w:rPr>
        <w:t xml:space="preserve">gegen</w:t>
      </w:r>
    </w:p>
    <w:p>
      <w:pPr>
        <w:pStyle w:val="BodyText"/>
      </w:pPr>
      <w:r>
        <w:rPr>
          <w:b/>
          <w:bCs/>
        </w:rPr>
        <w:t xml:space="preserve">Herrn Gottlieb von Altenhausen</w:t>
      </w:r>
      <w:r>
        <w:t xml:space="preserve">, Kaiserstraße 47, 90403 Nürnberg,</w:t>
      </w:r>
    </w:p>
    <w:p>
      <w:pPr>
        <w:pStyle w:val="BodyText"/>
      </w:pPr>
      <w:r>
        <w:t xml:space="preserve">– Beklagter –</w:t>
      </w:r>
    </w:p>
    <w:p>
      <w:pPr>
        <w:pStyle w:val="BodyText"/>
      </w:pPr>
      <w:r>
        <w:rPr>
          <w:b/>
          <w:bCs/>
        </w:rPr>
        <w:t xml:space="preserve">wegen:</w:t>
      </w:r>
      <w:r>
        <w:t xml:space="preserve"> </w:t>
      </w:r>
      <w:r>
        <w:t xml:space="preserve">Kaufpreisforderung aus abgetretenem Recht</w:t>
      </w:r>
      <w:r>
        <w:t xml:space="preserve"> </w:t>
      </w:r>
      <w:r>
        <w:rPr>
          <w:b/>
          <w:bCs/>
        </w:rPr>
        <w:t xml:space="preserve">Streitwert:</w:t>
      </w:r>
      <w:r>
        <w:t xml:space="preserve"> </w:t>
      </w:r>
      <w:r>
        <w:t xml:space="preserve">797,84 €</w:t>
      </w:r>
    </w:p>
    <w:p>
      <w:pPr>
        <w:pStyle w:val="BodyText"/>
      </w:pPr>
      <w:r>
        <w:t xml:space="preserve">Namens der Klägerin erheben wir Klage und beantragen:</w:t>
      </w:r>
    </w:p>
    <w:p>
      <w:pPr>
        <w:pStyle w:val="Compact"/>
        <w:numPr>
          <w:ilvl w:val="0"/>
          <w:numId w:val="1001"/>
        </w:numPr>
      </w:pPr>
      <w:r>
        <w:t xml:space="preserve">Der Beklagte wird verurteilt, an die Klägerin</w:t>
      </w:r>
      <w:r>
        <w:t xml:space="preserve"> </w:t>
      </w:r>
      <w:r>
        <w:rPr>
          <w:b/>
          <w:bCs/>
        </w:rPr>
        <w:t xml:space="preserve">698,00 €</w:t>
      </w:r>
      <w:r>
        <w:t xml:space="preserve"> </w:t>
      </w:r>
      <w:r>
        <w:t xml:space="preserve">nebst Zinsen in Höhe von fünf Prozentpunkten über dem Basiszinssatz seit dem 18.04.2025 zu zahlen.</w:t>
      </w:r>
    </w:p>
    <w:p>
      <w:pPr>
        <w:pStyle w:val="Compact"/>
        <w:numPr>
          <w:ilvl w:val="0"/>
          <w:numId w:val="1001"/>
        </w:numPr>
      </w:pPr>
      <w:r>
        <w:t xml:space="preserve">Der Beklagte wird verurteilt, an die Klägerin vorgerichtliche Mahnkosten in Höhe von</w:t>
      </w:r>
      <w:r>
        <w:t xml:space="preserve"> </w:t>
      </w:r>
      <w:r>
        <w:rPr>
          <w:b/>
          <w:bCs/>
        </w:rPr>
        <w:t xml:space="preserve">5,50 €</w:t>
      </w:r>
      <w:r>
        <w:t xml:space="preserve"> </w:t>
      </w:r>
      <w:r>
        <w:t xml:space="preserve">sowie Inkassokosten in Höhe von</w:t>
      </w:r>
      <w:r>
        <w:t xml:space="preserve"> </w:t>
      </w:r>
      <w:r>
        <w:rPr>
          <w:b/>
          <w:bCs/>
        </w:rPr>
        <w:t xml:space="preserve">83,54 €</w:t>
      </w:r>
      <w:r>
        <w:t xml:space="preserve"> </w:t>
      </w:r>
      <w:r>
        <w:t xml:space="preserve">und ausgerechnete Verzugszinsen in Höhe von</w:t>
      </w:r>
      <w:r>
        <w:t xml:space="preserve"> </w:t>
      </w:r>
      <w:r>
        <w:rPr>
          <w:b/>
          <w:bCs/>
        </w:rPr>
        <w:t xml:space="preserve">10,80 €</w:t>
      </w:r>
      <w:r>
        <w:t xml:space="preserve"> </w:t>
      </w:r>
      <w:r>
        <w:t xml:space="preserve">zu zahlen.</w:t>
      </w:r>
    </w:p>
    <w:p>
      <w:pPr>
        <w:pStyle w:val="Compact"/>
        <w:numPr>
          <w:ilvl w:val="0"/>
          <w:numId w:val="1001"/>
        </w:numPr>
      </w:pPr>
      <w:r>
        <w:t xml:space="preserve">Der Beklagte trägt die Kosten des Rechtsstreits.</w:t>
      </w:r>
    </w:p>
    <w:p>
      <w:pPr>
        <w:pStyle w:val="FirstParagraph"/>
      </w:pPr>
      <w:r>
        <w:t xml:space="preserve">Für den Fall der Anordnung des schriftlichen Vorverfahrens wird bereits jetzt beantragt, den Beklagten im Versäumnisverfahren zu verurteilen, falls er die Verteidigungsabsicht nicht rechtzeitig anzeigt (§ 331 Abs. 3 ZPO).</w:t>
      </w:r>
    </w:p>
    <w:bookmarkStart w:id="24" w:name="begründung"/>
    <w:p>
      <w:pPr>
        <w:pStyle w:val="Heading2"/>
      </w:pPr>
      <w:r>
        <w:t xml:space="preserve">Begründung</w:t>
      </w:r>
    </w:p>
    <w:bookmarkStart w:id="20" w:name="i.-aktivlegitimation"/>
    <w:p>
      <w:pPr>
        <w:pStyle w:val="Heading3"/>
      </w:pPr>
      <w:r>
        <w:t xml:space="preserve">I. Aktivlegitimation</w:t>
      </w:r>
    </w:p>
    <w:p>
      <w:pPr>
        <w:pStyle w:val="FirstParagraph"/>
      </w:pPr>
      <w:r>
        <w:t xml:space="preserve">Die Klägerin macht eine Kaufpreisforderung aus abgetretenem Recht geltend. Die ModeFuchs GmbH, Kaiserplatz 12, 10002 Musterstadt, hat ihre Forderung gegen den Beklagten aus der Rechnung R-20250406-3098 nebst sämtlicher Nebenforderungen mit Abtretungserklärung vom 08.06.2025 an die Klägerin abgetreten.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Abtretungserklärung vom 08.06.2025,</w:t>
      </w:r>
      <w:r>
        <w:t xml:space="preserve"> </w:t>
      </w:r>
      <w:r>
        <w:rPr>
          <w:b/>
          <w:bCs/>
        </w:rPr>
        <w:t xml:space="preserve">Anlage K 1</w:t>
      </w:r>
    </w:p>
    <w:p>
      <w:pPr>
        <w:pStyle w:val="BodyText"/>
      </w:pPr>
      <w:r>
        <w:t xml:space="preserve">Die Klägerin ist als Inkassodienstleisterin nach § 10 Abs. 1 Satz 1 Nr. 1 RDG registriert.</w:t>
      </w:r>
    </w:p>
    <w:bookmarkEnd w:id="20"/>
    <w:bookmarkStart w:id="21" w:name="ii.-sachverhalt"/>
    <w:p>
      <w:pPr>
        <w:pStyle w:val="Heading3"/>
      </w:pPr>
      <w:r>
        <w:t xml:space="preserve">II. Sachverhalt</w:t>
      </w:r>
    </w:p>
    <w:p>
      <w:pPr>
        <w:pStyle w:val="FirstParagraph"/>
      </w:pPr>
      <w:r>
        <w:t xml:space="preserve">Der Beklagte bestellte am 03.04.2025 im Online-Shop der Zedentin einen Cashmere-Mantel „Aurelia”, Größe 52, zum Preis von 499,00 € sowie eine Lederhandtasche „Noa”, Modell „Luca”, zum Preis von 199,00 €, insgesamt 698,00 €, auf Rechnung. Die Zedentin bestätigte die Bestellung mit E-Mail vom selben Tage (Auftragsnummer MF-20250403-1749).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Bestellbestätigung vom 03.04.2025,</w:t>
      </w:r>
      <w:r>
        <w:t xml:space="preserve"> </w:t>
      </w:r>
      <w:r>
        <w:rPr>
          <w:b/>
          <w:bCs/>
        </w:rPr>
        <w:t xml:space="preserve">Anlage K 2</w:t>
      </w:r>
    </w:p>
    <w:p>
      <w:pPr>
        <w:pStyle w:val="BodyText"/>
      </w:pPr>
      <w:r>
        <w:t xml:space="preserve">Die Ware wurde am 06.04.2025 versandt und dem Beklagten in der Folge geliefert. Die Lieferung ist unstreitig zu stellen; der Beklagte hat den Erhalt der Ware mit E-Mail vom 27.06.2025 selbst eingeräumt. Mit E-Mail vom 06.04.2025 übersandte die Zedentin dem Beklagten die Rechnung R-20250406-3098 über 698,00 €, zahlbar bis zum 17.04.2025.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Rechnung R-20250406-3098 vom 06.04.2025 nebst Übersendungs-E-Mail,</w:t>
      </w:r>
      <w:r>
        <w:t xml:space="preserve"> </w:t>
      </w:r>
      <w:r>
        <w:rPr>
          <w:b/>
          <w:bCs/>
        </w:rPr>
        <w:t xml:space="preserve">Anlage K 3</w:t>
      </w:r>
    </w:p>
    <w:p>
      <w:pPr>
        <w:pStyle w:val="BodyText"/>
      </w:pPr>
      <w:r>
        <w:t xml:space="preserve">Eine Zahlung erfolgte nicht. Die Zedentin erinnerte den Beklagten mit E-Mail vom 20.04.2025 an die offene Rechnung.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Zahlungserinnerung vom 20.04.2025,</w:t>
      </w:r>
      <w:r>
        <w:t xml:space="preserve"> </w:t>
      </w:r>
      <w:r>
        <w:rPr>
          <w:b/>
          <w:bCs/>
        </w:rPr>
        <w:t xml:space="preserve">Anlage K 4</w:t>
      </w:r>
    </w:p>
    <w:p>
      <w:pPr>
        <w:pStyle w:val="BodyText"/>
      </w:pPr>
      <w:r>
        <w:t xml:space="preserve">Mit Schreiben vom 05.05.2025 mahnte die Zedentin den Beklagten per Brief (Mahngebühr 2,50 €).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Mahnung vom 05.05.2025,</w:t>
      </w:r>
      <w:r>
        <w:t xml:space="preserve"> </w:t>
      </w:r>
      <w:r>
        <w:rPr>
          <w:b/>
          <w:bCs/>
        </w:rPr>
        <w:t xml:space="preserve">Anlage K 5</w:t>
      </w:r>
    </w:p>
    <w:p>
      <w:pPr>
        <w:pStyle w:val="BodyText"/>
      </w:pPr>
      <w:r>
        <w:t xml:space="preserve">Mit Schreiben vom 22.05.2025 mahnte die Zedentin ein zweites und letztes Mal per Einwurf-Einschreiben (Mahngebühr 3,00 €) und kündigte die Abgabe an ein Inkassounternehmen an. Die Einlieferung des Einwurf-Einschreibens ist durch den Einlieferungsbeleg vom 22.05.2025 belegt.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Zweite Mahnung vom 22.05.2025 nebst Einlieferungsbeleg,</w:t>
      </w:r>
      <w:r>
        <w:t xml:space="preserve"> </w:t>
      </w:r>
      <w:r>
        <w:rPr>
          <w:b/>
          <w:bCs/>
        </w:rPr>
        <w:t xml:space="preserve">Anlage K 6</w:t>
      </w:r>
    </w:p>
    <w:p>
      <w:pPr>
        <w:pStyle w:val="BodyText"/>
      </w:pPr>
      <w:r>
        <w:t xml:space="preserve">Nach der Abtretung forderte die Klägerin den Beklagten mit Schreiben vom 10.06.2025 und vom 25.06.2025 vergeblich zur Zahlung auf. Mit E-Mail vom 27.06.2025 verweigerte der Beklagte den Ausgleich der Nebenforderungen; er berief sich darauf, Rechnung und Mahnungen seien in seinem Spam-Ordner gelandet und ihm daher nicht zugegangen.</w:t>
      </w:r>
    </w:p>
    <w:p>
      <w:pPr>
        <w:pStyle w:val="BodyText"/>
      </w:pPr>
      <w:r>
        <w:rPr>
          <w:b/>
          <w:bCs/>
        </w:rPr>
        <w:t xml:space="preserve">Beweis:</w:t>
      </w:r>
      <w:r>
        <w:t xml:space="preserve"> </w:t>
      </w:r>
      <w:r>
        <w:t xml:space="preserve">E-Mail des Beklagten vom 27.06.2025,</w:t>
      </w:r>
      <w:r>
        <w:t xml:space="preserve"> </w:t>
      </w:r>
      <w:r>
        <w:rPr>
          <w:b/>
          <w:bCs/>
        </w:rPr>
        <w:t xml:space="preserve">Anlage K 7</w:t>
      </w:r>
    </w:p>
    <w:bookmarkEnd w:id="21"/>
    <w:bookmarkStart w:id="22" w:name="iii.-rechtliche-würdigung"/>
    <w:p>
      <w:pPr>
        <w:pStyle w:val="Heading3"/>
      </w:pPr>
      <w:r>
        <w:t xml:space="preserve">III. Rechtliche Würdigung</w:t>
      </w:r>
    </w:p>
    <w:p>
      <w:pPr>
        <w:pStyle w:val="FirstParagraph"/>
      </w:pPr>
      <w:r>
        <w:t xml:space="preserve">Der Anspruch auf Zahlung des Kaufpreises von 698,00 € folgt aus § 433 Abs. 2 BGB in Verbindung mit § 398 BGB. Der Kaufvertrag ist durch Bestellung und Bestellbestätigung zustande gekommen; die Ware wurde geliefert.</w:t>
      </w:r>
    </w:p>
    <w:p>
      <w:pPr>
        <w:pStyle w:val="BodyText"/>
      </w:pPr>
      <w:r>
        <w:t xml:space="preserve">Der Beklagte befindet sich seit dem 18.04.2025 in Verzug (§ 286 Abs. 3 Satz 1 BGB). Die Rechnung ist dem Beklagten am 06.04.2025 zugegangen. Eine E-Mail geht zu, sobald sie in der Mailbox des Empfängers abrufbar ist und mit ihrer Kenntnisnahme nach dem gewöhnlichen Lauf der Dinge gerechnet werden kann. Der Beklagte hat die E-Mail-Adresse im Bestellprozess selbst als Kontaktadresse angegeben und damit als Empfangsadresse für rechnungsbezogene Erklärungen eröffnet. Richtet der Empfänger seinen Spam-Filter so ein, dass erwartbare Geschäftspost aussortiert und automatisch gelöscht wird, fällt dies in seine Risikosphäre; auf fehlende Kenntnisnahme kann er sich nach Treu und Glauben nicht berufen. Jedenfalls ist der Beklagte durch die postalischen Mahnungen vom 05.05.2025 und 22.05.2025 (Anlagen K 5 und K 6) spätestens mit deren Zugang in Verzug geraten.</w:t>
      </w:r>
    </w:p>
    <w:p>
      <w:pPr>
        <w:pStyle w:val="BodyText"/>
      </w:pPr>
      <w:r>
        <w:t xml:space="preserve">Die Nebenforderungen ergeben sich aus §§ 280 Abs. 1 und 2, 286, 288 BGB: Mahnkosten in Höhe von 5,50 €, ausgerechnete Verzugszinsen bis zum 05.07.2025 in Höhe von 10,80 € sowie Inkassokosten in Höhe von 83,54 € (0,9-Geschäftsgebühr nach Nr. 2300 VV RVG analog aus einem Gegenstandswert bis 1.000,00 € zuzüglich Auslagenpauschale, begrenzt nach § 4 Abs. 5 RDGEG in Verbindung mit den Vorgaben des RVG).</w:t>
      </w:r>
    </w:p>
    <w:bookmarkEnd w:id="22"/>
    <w:bookmarkStart w:id="23" w:name="iv.-zuständigkeit"/>
    <w:p>
      <w:pPr>
        <w:pStyle w:val="Heading3"/>
      </w:pPr>
      <w:r>
        <w:t xml:space="preserve">IV. Zuständigkeit</w:t>
      </w:r>
    </w:p>
    <w:p>
      <w:pPr>
        <w:pStyle w:val="FirstParagraph"/>
      </w:pPr>
      <w:r>
        <w:t xml:space="preserve">Das Amtsgericht Nürnberg ist sachlich (§§ 23 Nr. 1, 71 Abs. 1 GVG) und örtlich (§§ 12, 13 ZPO) zuständig.</w:t>
      </w:r>
    </w:p>
    <w:p>
      <w:pPr>
        <w:pStyle w:val="BodyText"/>
      </w:pPr>
      <w:r>
        <w:t xml:space="preserve">Ein Güteverfahren nach § 15a EGZPO ist nicht erforderlich. Dem Mahnverfahren (Mahnbescheid vom 05.07.2025, Gesamtwiderspruch vom 18.07.2025) folgt die Anspruchsbegründung im streitigen Verfahren nach.</w:t>
      </w:r>
    </w:p>
    <w:p>
      <w:pPr>
        <w:pStyle w:val="BodyText"/>
      </w:pPr>
      <w:r>
        <w:t xml:space="preserve">(Unterschrift Geschäftsführung)</w:t>
      </w:r>
    </w:p>
    <w:p>
      <w:pPr>
        <w:pStyle w:val="BodyText"/>
      </w:pPr>
      <w:r>
        <w:t xml:space="preserve">Dr. Marvin Rüter</w:t>
      </w:r>
      <w:r>
        <w:t xml:space="preserve"> </w:t>
      </w:r>
      <w:r>
        <w:t xml:space="preserve">Geschäftsführer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Anlagenverzeichnis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Bezeichnung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Abtretungserklärung vom 08.06.2025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Bestellbestätigung vom 03.04.2025 (E-Mail)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Rechnung R-20250406-3098 vom 06.04.2025 nebst Übersendungs-E-Mail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Zahlungserinnerung vom 20.04.2025 (E-Mail)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Mahnung vom 05.05.2025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Zweite Mahnung vom 22.05.2025 nebst Einlieferungsbeleg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des Beklagten vom 27.06.2025</w:t>
            </w:r>
          </w:p>
        </w:tc>
      </w:tr>
    </w:tbl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2026-08-14T15:51:30Z</dcterms:created>
  <dcterms:modified xsi:type="dcterms:W3CDTF">2026-08-14T15:51:30Z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