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der städtischen Datenschutzbeauftragten — datenschutzrechtliche Parallelbewertung</w:t>
      </w:r>
    </w:p>
    <w:p>
      <w:pPr>
        <w:jc w:val="left"/>
      </w:pPr>
      <w:r>
        <w:t>Stadt Chemnitz</w:t>
      </w:r>
    </w:p>
    <w:p>
      <w:pPr>
        <w:jc w:val="left"/>
      </w:pPr>
      <w:r>
        <w:t>Behördliche Datenschutzbeauftragte</w:t>
      </w:r>
    </w:p>
    <w:p>
      <w:pPr>
        <w:jc w:val="left"/>
      </w:pPr>
      <w:r>
        <w:t>Bahnhofstraße 53, 09111 Chemnitz</w:t>
      </w:r>
    </w:p>
    <w:p>
      <w:pPr>
        <w:jc w:val="left"/>
      </w:pPr>
      <w:r>
        <w:t>Telefon: 0371 488-1550 | E-Mail: datenschutz@stadt-chemnitz.de</w:t>
      </w:r>
    </w:p>
    <w:p>
      <w:pPr>
        <w:jc w:val="left"/>
      </w:pPr>
      <w:r>
        <w:t>Dokument-ID: DSB-KOMPASS-2026-03 | Stand: 12.06.2026 | Verfasserin: Behördliche Datenschutzbeauftragte Ilka Sonntag</w:t>
      </w:r>
    </w:p>
    <w:p>
      <w:pPr>
        <w:pStyle w:val="Heading2"/>
      </w:pPr>
      <w:r>
        <w:rPr>
          <w:rFonts w:ascii="Times New Roman" w:hAnsi="Times New Roman"/>
        </w:rPr>
        <w:t>1 Zweck des Vermerks</w:t>
      </w:r>
    </w:p>
    <w:p>
      <w:pPr>
        <w:jc w:val="left"/>
      </w:pPr>
      <w:r>
        <w:t>Dieser Vermerk bewertet KOMPASS ergänzend zur Prüfung des Rechtsamts unter datenschutzrechtlichen Gesichtspunkten. Er nimmt die Feststellungen der Systembeschreibung (Aktenstück 03) und der Faktortabelle (Aktenstück 04) auf.</w:t>
      </w:r>
    </w:p>
    <w:p>
      <w:pPr>
        <w:pStyle w:val="Heading2"/>
      </w:pPr>
      <w:r>
        <w:rPr>
          <w:rFonts w:ascii="Times New Roman" w:hAnsi="Times New Roman"/>
        </w:rPr>
        <w:t>2 Verarbeitung fachfremder Daten</w:t>
      </w:r>
    </w:p>
    <w:p>
      <w:pPr>
        <w:jc w:val="left"/>
      </w:pPr>
      <w:r>
        <w:t>Die Zusammenführung von Daten aus dem Sozialamt, der Stadtbibliothek, dem Ordnungsamt, dem Verkehrsbetrieb und der Abfallwirtschaft zu einem einheitlichen Score wirft die Frage der Zweckbindung auf. Personenbezogene Daten dürfen grundsätzlich nur zu dem Zweck weiterverarbeitet werden, zu dem sie erhoben wurden, oder zu einem hiermit vereinbaren Zweck. Ob die Steuerung der Kontrolldichte im Leistungsverfahren mit dem Zweck der Erhebung von Bibliotheksmahnungen oder Parkverstößen vereinbar ist, erscheint zweifelhaft.</w:t>
      </w:r>
    </w:p>
    <w:p>
      <w:pPr>
        <w:pStyle w:val="Heading2"/>
      </w:pPr>
      <w:r>
        <w:rPr>
          <w:rFonts w:ascii="Times New Roman" w:hAnsi="Times New Roman"/>
        </w:rPr>
        <w:t>3 Rechtsgrundlage und Transparenz</w:t>
      </w:r>
    </w:p>
    <w:p>
      <w:pPr>
        <w:jc w:val="left"/>
      </w:pPr>
      <w:r>
        <w:t>Für die bereichsübergreifende Zusammenführung ist eine tragfähige Rechtsgrundlage nicht ersichtlich. Die betroffenen Personen wurden über die Herkunft der in den Score einfließenden Daten nicht informiert; die Projektbeschreibung (Aktenstück 01) hatte gegenüber dem Stadtrat sogar ausdrücklich eine Beschränkung auf fachbereichsinterne Daten erklärt.</w:t>
      </w:r>
    </w:p>
    <w:p>
      <w:pPr>
        <w:pStyle w:val="Heading2"/>
      </w:pPr>
      <w:r>
        <w:rPr>
          <w:rFonts w:ascii="Times New Roman" w:hAnsi="Times New Roman"/>
        </w:rPr>
        <w:t>4 Datenschutz-Folgenabschätzung</w:t>
      </w:r>
    </w:p>
    <w:p>
      <w:pPr>
        <w:jc w:val="left"/>
      </w:pPr>
      <w:r>
        <w:t>Eine Datenschutz-Folgenabschätzung für die bereichsübergreifende Verarbeitung liegt nicht vor. Angesichts der systematischen Bewertung von Personen mit erheblichen Folgen für die Leistungsgewährung war eine solche durchzuführen.</w:t>
      </w:r>
    </w:p>
    <w:p>
      <w:pPr>
        <w:pStyle w:val="Heading2"/>
      </w:pPr>
      <w:r>
        <w:rPr>
          <w:rFonts w:ascii="Times New Roman" w:hAnsi="Times New Roman"/>
        </w:rPr>
        <w:t>5 Verhältnis zur KI-Verordnung</w:t>
      </w:r>
    </w:p>
    <w:p>
      <w:pPr>
        <w:jc w:val="left"/>
      </w:pPr>
      <w:r>
        <w:t>Die datenschutzrechtliche Bewertung tritt neben die Prüfung nach der KI-Verordnung; beide Regelungsregime sind nebeneinander anwendbar. Fällt die Praktik unter das Verbot der sozialen Bewertung, ist der Betrieb bereits deshalb unzulässig; unabhängig davon bestehen die datenschutzrechtlichen Beanstandungen.</w:t>
      </w:r>
    </w:p>
    <w:p>
      <w:pPr>
        <w:pStyle w:val="Heading2"/>
      </w:pPr>
      <w:r>
        <w:rPr>
          <w:rFonts w:ascii="Times New Roman" w:hAnsi="Times New Roman"/>
        </w:rPr>
        <w:t>6 Empfehlung</w:t>
      </w:r>
    </w:p>
    <w:p>
      <w:pPr>
        <w:jc w:val="left"/>
      </w:pPr>
      <w:r>
        <w:t>Empfohlen wird, die Konnektoren außerhalb des Sozialamtes unverzüglich zu deaktivieren, die betroffenen Personen zu informieren, die bisher ergangenen Einstufungen zu überprüfen und die Ergebnisse der Prüfungen dem Stadtrat vorzulegen.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