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Polizeipraesidium Muenchen</w:t>
      </w:r>
    </w:p>
    <w:p>
      <w:pPr>
        <w:jc w:val="left"/>
      </w:pPr>
      <w:r>
        <w:t>Kriminalfachdezernat 6 - Korruption und Amtsdelikte</w:t>
      </w:r>
    </w:p>
    <w:p>
      <w:pPr>
        <w:jc w:val="left"/>
      </w:pPr>
      <w:r>
        <w:t>Bayerstrasse 35, 80335 Muenchen | Telefon: 089 2910-0</w:t>
      </w:r>
    </w:p>
    <w:p>
      <w:pPr>
        <w:jc w:val="left"/>
      </w:pPr>
      <w:r>
        <w:t>Tgb.-Nr.: KFD6-004417-26/2 | Js-Az.: 6 Js 9940/26 StA Muenchen I</w:t>
      </w:r>
    </w:p>
    <w:p>
      <w:pPr>
        <w:jc w:val="left"/>
      </w:pPr>
      <w:r>
        <w:t>Bl. 121-126 d. A.</w:t>
      </w:r>
    </w:p>
    <w:p>
      <w:pPr>
        <w:jc w:val="left"/>
      </w:pPr>
      <w:r>
        <w:t>Auswertevermerk - Abgleich Zuschlaege und Zuwendungen</w:t>
      </w:r>
    </w:p>
    <w:p>
      <w:pPr>
        <w:jc w:val="left"/>
      </w:pPr>
      <w:r>
        <w:t>1 Gegenstand</w:t>
      </w:r>
    </w:p>
    <w:p>
      <w:pPr>
        <w:jc w:val="left"/>
      </w:pPr>
      <w:r>
        <w:t>1.1 Gegenstand dieses Vermerks ist der Abgleich der drei Rahmenvertragsvergaben an die Kiesel und Rath GmbH mit den festgestellten Zuwendungen an den Beschuldigten Markus Eberl. Grundlage sind die Vergabevermerke (Bl. 51, 62, 73), der sichergestellte private Kalender (Bl. 88-92), die Kontoauszuege (Bl. 118) sowie der ausgewertete WhatsApp-Verlauf mit Ferdinand Kolb (Bl. 121-123). Die Werte sind in der Tabelle 10_vergabe_und_vorteile_abgleich.csv zusammengefuehrt.</w:t>
      </w:r>
    </w:p>
    <w:p>
      <w:pPr>
        <w:jc w:val="left"/>
      </w:pPr>
      <w:r>
        <w:t>2 Zuschlaege</w:t>
      </w:r>
    </w:p>
    <w:p>
      <w:pPr>
        <w:jc w:val="left"/>
      </w:pPr>
      <w:r>
        <w:t>2.1 Alle drei Zuschlaege gingen an die Kiesel und Rath GmbH. Die Auftragswerte betrugen 98.400 Euro (Los 2025-11, Zuschlag 12.03.2025), 97.850 Euro (Los 2025-14, Zuschlag 04.07.2025) und 99.200 Euro (Los 2025-17, Zuschlag 21.10.2025). Alle drei Werte liegen unterhalb der internen Kontrollschwelle von 100.000 Euro, ab der eine Gegenzeichnung durch die Amtsleitung vorgeschrieben ist. Die Summe der drei Auftragswerte betraegt 295.450 Euro.</w:t>
      </w:r>
    </w:p>
    <w:p>
      <w:pPr>
        <w:jc w:val="left"/>
      </w:pPr>
      <w:r>
        <w:t>3 Zuwendungen</w:t>
      </w:r>
    </w:p>
    <w:p>
      <w:pPr>
        <w:jc w:val="left"/>
      </w:pPr>
      <w:r>
        <w:t>3.1 Im Auswertungszeitraum wurden fuenf Zuwendungen an den Beschuldigten festgestellt (Gesamtwert 5.390 Euro): VIP-Loge am 18.03.2025 (640 Euro), Abendessen am 15.05.2025 (90 Euro), Wochenende Suedtirol am 11.07.2025 (1.480 Euro), Ueberweisung "Beratungshonorar" am 27.10.2025 (2.500 Euro) und VIP-Loge am 30.10.2025 (680 Euro).</w:t>
      </w:r>
    </w:p>
    <w:p>
      <w:pPr>
        <w:jc w:val="left"/>
      </w:pPr>
      <w:r>
        <w:t>4 Zeitliches Muster</w:t>
      </w:r>
    </w:p>
    <w:p>
      <w:pPr>
        <w:jc w:val="left"/>
      </w:pPr>
      <w:r>
        <w:t>4.1 Vier der fuenf Zuwendungen fielen jeweils innerhalb von zehn Tagen nach einem Zuschlag an die Kiesel und Rath GmbH: die Loge vom 18.03.2025 sechs Tage nach dem Zuschlag vom 12.03.2025, das Suedtirol-Wochenende vom 11.07.2025 sieben Tage nach dem Zuschlag vom 04.07.2025 sowie die Ueberweisung vom 27.10.2025 (sechs Tage) und die Loge vom 30.10.2025 (neun Tage) nach dem Zuschlag vom 21.10.2025.</w:t>
      </w:r>
    </w:p>
    <w:p>
      <w:pPr>
        <w:jc w:val="left"/>
      </w:pPr>
      <w:r>
        <w:t>4.2 Der Gesamtwert dieser vier zuschlagsnahen Zuwendungen betraegt 5.300 Euro. Die einzige nicht zuschlagsnahe Zuwendung ist das Abendessen vom 15.05.2025 (90 Euro); der zeitliche Abstand zum naechstgelegenen vorangehenden Zuschlag (12.03.2025) betraegt 64 Tage. Diese Zuwendung wird als nicht musterkonform ausgesondert.</w:t>
      </w:r>
    </w:p>
    <w:p>
      <w:pPr>
        <w:jc w:val="left"/>
      </w:pPr>
      <w:r>
        <w:t>5 Diskrepanz zur Einlassung</w:t>
      </w:r>
    </w:p>
    <w:p>
      <w:pPr>
        <w:jc w:val="left"/>
      </w:pPr>
      <w:r>
        <w:t>5.1 Der Beschuldigte bezeichnet die Ueberweisung von 2.500 Euro als "Beratungshonorar" fuer eine private Beratung (vgl. Beschuldigtenvernehmung vom 18.06.2026, Bl. 141). Dem steht entgegen, dass fuer eine Beratungstaetigkeit keine Nebentaetigkeitsgenehmigung vorliegt, dass die Zahlung sechs Tage nach dem Zuschlag fuer Los 2025-17 einging und dass Herr Kolb die Zahlung bereits am 08.10.2025, also vor dem Zuschlag, als "2.500 nach dem Zuschlag ... Verwendungszweck Beratung" ankuendigte (Bl. 121). Die behauptete Freundschaftsleistung deckt sich zeitlich luecklenlos mit dem Vergabegeschehen.</w:t>
      </w:r>
    </w:p>
    <w:p>
      <w:pPr>
        <w:jc w:val="left"/>
      </w:pPr>
      <w:r>
        <w:t>6 Ergebnis</w:t>
      </w:r>
    </w:p>
    <w:p>
      <w:pPr>
        <w:jc w:val="left"/>
      </w:pPr>
      <w:r>
        <w:t>6.1 Der Abgleich stuetzt den Verdacht einer Unrechtsvereinbarung. Die weitere Bewertung, insbesondere die Abgrenzung zwischen Vorteilsannahme und Bestechlichkeit sowie die Frage eines Vergabeschadens, bleibt der rechtlichen Pruefung vorbehalten.</w:t>
      </w:r>
    </w:p>
    <w:p>
      <w:pPr>
        <w:jc w:val="left"/>
      </w:pPr>
      <w:r>
        <w:t>gez. Baumeister, KHK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