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6520"/>
        <w:gridCol w:w="2948"/>
      </w:tblGrid>
      <w:tr>
        <w:tc>
          <w:tcPr>
            <w:tcW w:type="dxa" w:w="4790"/>
            <w:tcMar>
              <w:top w:w="0" w:type="dxa"/>
              <w:start w:w="0" w:type="dxa"/>
              <w:bottom w:w="80" w:type="dxa"/>
              <w:end w:w="80" w:type="dxa"/>
            </w:tcMar>
          </w:tcPr>
          <w:p>
            <w:pPr>
              <w:spacing w:after="20"/>
            </w:pPr>
            <w:r>
              <w:rPr>
                <w:b/>
                <w:color w:val="17324D"/>
                <w:sz w:val="24"/>
              </w:rPr>
              <w:t>RHEINBLICK RECHTSANWÄLTE PartG mbB</w:t>
            </w:r>
          </w:p>
          <w:p>
            <w:pPr>
              <w:spacing w:after="0"/>
            </w:pPr>
            <w:r>
              <w:rPr>
                <w:color w:val="59636B"/>
                <w:sz w:val="16"/>
              </w:rPr>
              <w:t>Hohenzollernring 57 · 50672 Köln · Telefon 0221 580 44 20 · Fax 0221 580 44 29</w:t>
            </w:r>
          </w:p>
          <w:p>
            <w:pPr>
              <w:spacing w:after="0"/>
            </w:pPr>
            <w:r>
              <w:rPr>
                <w:color w:val="59636B"/>
                <w:sz w:val="16"/>
              </w:rPr>
              <w:t>kanzlei@rheinblick-recht.de · Partnerschaftsregister AG Essen PR 4812 · Fremdgeldkonto DE56 3704 0044 0712 9080 00</w:t>
            </w:r>
          </w:p>
        </w:tc>
        <w:tc>
          <w:tcPr>
            <w:tcW w:type="dxa" w:w="4790"/>
            <w:tcMar>
              <w:top w:w="0" w:type="dxa"/>
              <w:start w:w="80" w:type="dxa"/>
              <w:bottom w:w="80" w:type="dxa"/>
              <w:end w:w="0" w:type="dxa"/>
            </w:tcMar>
          </w:tcPr>
          <w:p>
            <w:pPr>
              <w:jc w:val="right"/>
            </w:pPr>
            <w:r>
              <w:rPr>
                <w:b/>
                <w:color w:val="2E668B"/>
                <w:sz w:val="18"/>
              </w:rPr>
              <w:t>MANDATSAUFNAHME</w:t>
            </w:r>
          </w:p>
        </w:tc>
      </w:tr>
    </w:tbl>
    <w:p>
      <w:pPr>
        <w:spacing w:after="160"/>
        <w:pBdr>
          <w:bottom w:val="single" w:sz="10" w:space="1" w:color="2E668B"/>
        </w:pBdr>
      </w:pPr>
    </w:p>
    <w:p>
      <w:pPr>
        <w:pStyle w:val="Title"/>
      </w:pPr>
      <w:r>
        <w:t>Mandatsaufnahme und Arbeitsauftrag</w:t>
      </w:r>
    </w:p>
    <w:p>
      <w:pPr>
        <w:spacing w:after="180"/>
      </w:pPr>
      <w:r>
        <w:rPr>
          <w:b/>
          <w:color w:val="2E668B"/>
        </w:rPr>
        <w:t>Altfeld Vertrieb GmbH ./. Nordstern MedTech GmbH</w:t>
      </w:r>
    </w:p>
    <w:tbl>
      <w:tblPr>
        <w:tblW w:type="auto" w:w="0"/>
        <w:tblLayout w:type="fixed"/>
        <w:tblLook w:firstColumn="1" w:firstRow="1" w:lastColumn="0" w:lastRow="0" w:noHBand="0" w:noVBand="1" w:val="04A0"/>
      </w:tblPr>
      <w:tblGrid>
        <w:gridCol w:w="2268"/>
        <w:gridCol w:w="7200"/>
      </w:tblGrid>
      <w:tr>
        <w:tc>
          <w:tcPr>
            <w:tcW w:type="dxa" w:w="2268"/>
            <w:shd w:fill="EAF1F5"/>
            <w:tcMar>
              <w:top w:w="90" w:type="dxa"/>
              <w:start w:w="90" w:type="dxa"/>
              <w:bottom w:w="90" w:type="dxa"/>
              <w:end w:w="90" w:type="dxa"/>
            </w:tcMar>
            <w:vAlign w:val="center"/>
          </w:tcPr>
          <w:p>
            <w:pPr>
              <w:spacing w:after="0"/>
            </w:pPr>
            <w:r>
              <w:rPr>
                <w:b/>
                <w:sz w:val="18"/>
              </w:rPr>
              <w:t>Aufgenommen</w:t>
            </w:r>
          </w:p>
        </w:tc>
        <w:tc>
          <w:tcPr>
            <w:tcW w:type="dxa" w:w="7200"/>
            <w:tcMar>
              <w:top w:w="90" w:type="dxa"/>
              <w:start w:w="90" w:type="dxa"/>
              <w:bottom w:w="90" w:type="dxa"/>
              <w:end w:w="90" w:type="dxa"/>
            </w:tcMar>
            <w:vAlign w:val="center"/>
          </w:tcPr>
          <w:p>
            <w:pPr>
              <w:spacing w:after="0"/>
            </w:pPr>
            <w:r>
              <w:rPr>
                <w:sz w:val="18"/>
              </w:rPr>
              <w:t>2. Juni 2026, 11:47 Uhr, Telefonat mit Thorsten Altfeld</w:t>
            </w:r>
          </w:p>
        </w:tc>
      </w:tr>
      <w:tr>
        <w:tc>
          <w:tcPr>
            <w:tcW w:type="dxa" w:w="2268"/>
            <w:shd w:fill="EAF1F5"/>
            <w:tcMar>
              <w:top w:w="90" w:type="dxa"/>
              <w:start w:w="90" w:type="dxa"/>
              <w:bottom w:w="90" w:type="dxa"/>
              <w:end w:w="90" w:type="dxa"/>
            </w:tcMar>
            <w:vAlign w:val="center"/>
          </w:tcPr>
          <w:p>
            <w:pPr>
              <w:spacing w:after="0"/>
            </w:pPr>
            <w:r>
              <w:rPr>
                <w:b/>
                <w:sz w:val="18"/>
              </w:rPr>
              <w:t>Mandantin</w:t>
            </w:r>
          </w:p>
        </w:tc>
        <w:tc>
          <w:tcPr>
            <w:tcW w:type="dxa" w:w="7200"/>
            <w:tcMar>
              <w:top w:w="90" w:type="dxa"/>
              <w:start w:w="90" w:type="dxa"/>
              <w:bottom w:w="90" w:type="dxa"/>
              <w:end w:w="90" w:type="dxa"/>
            </w:tcMar>
            <w:vAlign w:val="center"/>
          </w:tcPr>
          <w:p>
            <w:pPr>
              <w:spacing w:after="0"/>
            </w:pPr>
            <w:r>
              <w:rPr>
                <w:sz w:val="18"/>
              </w:rPr>
              <w:t>Altfeld Vertrieb GmbH, Friedrich-Ebert-Straße 94, 34119 Kassel</w:t>
            </w:r>
          </w:p>
        </w:tc>
      </w:tr>
      <w:tr>
        <w:tc>
          <w:tcPr>
            <w:tcW w:type="dxa" w:w="2268"/>
            <w:shd w:fill="EAF1F5"/>
            <w:tcMar>
              <w:top w:w="90" w:type="dxa"/>
              <w:start w:w="90" w:type="dxa"/>
              <w:bottom w:w="90" w:type="dxa"/>
              <w:end w:w="90" w:type="dxa"/>
            </w:tcMar>
            <w:vAlign w:val="center"/>
          </w:tcPr>
          <w:p>
            <w:pPr>
              <w:spacing w:after="0"/>
            </w:pPr>
            <w:r>
              <w:rPr>
                <w:b/>
                <w:sz w:val="18"/>
              </w:rPr>
              <w:t>Gegenseite</w:t>
            </w:r>
          </w:p>
        </w:tc>
        <w:tc>
          <w:tcPr>
            <w:tcW w:type="dxa" w:w="7200"/>
            <w:tcMar>
              <w:top w:w="90" w:type="dxa"/>
              <w:start w:w="90" w:type="dxa"/>
              <w:bottom w:w="90" w:type="dxa"/>
              <w:end w:w="90" w:type="dxa"/>
            </w:tcMar>
            <w:vAlign w:val="center"/>
          </w:tcPr>
          <w:p>
            <w:pPr>
              <w:spacing w:after="0"/>
            </w:pPr>
            <w:r>
              <w:rPr>
                <w:sz w:val="18"/>
              </w:rPr>
              <w:t>Nordstern MedTech GmbH, Ruhrallee 188, 45136 Essen</w:t>
            </w:r>
          </w:p>
        </w:tc>
      </w:tr>
      <w:tr>
        <w:tc>
          <w:tcPr>
            <w:tcW w:type="dxa" w:w="2268"/>
            <w:shd w:fill="EAF1F5"/>
            <w:tcMar>
              <w:top w:w="90" w:type="dxa"/>
              <w:start w:w="90" w:type="dxa"/>
              <w:bottom w:w="90" w:type="dxa"/>
              <w:end w:w="90" w:type="dxa"/>
            </w:tcMar>
            <w:vAlign w:val="center"/>
          </w:tcPr>
          <w:p>
            <w:pPr>
              <w:spacing w:after="0"/>
            </w:pPr>
            <w:r>
              <w:rPr>
                <w:b/>
                <w:sz w:val="18"/>
              </w:rPr>
              <w:t>Sachbearbeitung</w:t>
            </w:r>
          </w:p>
        </w:tc>
        <w:tc>
          <w:tcPr>
            <w:tcW w:type="dxa" w:w="7200"/>
            <w:tcMar>
              <w:top w:w="90" w:type="dxa"/>
              <w:start w:w="90" w:type="dxa"/>
              <w:bottom w:w="90" w:type="dxa"/>
              <w:end w:w="90" w:type="dxa"/>
            </w:tcMar>
            <w:vAlign w:val="center"/>
          </w:tcPr>
          <w:p>
            <w:pPr>
              <w:spacing w:after="0"/>
            </w:pPr>
            <w:r>
              <w:rPr>
                <w:sz w:val="18"/>
              </w:rPr>
              <w:t>Rechtsanwalt Dr. Frank Rohrhuber; Stefanie Pollok, Rechtsanwältin</w:t>
            </w:r>
          </w:p>
        </w:tc>
      </w:tr>
      <w:tr>
        <w:tc>
          <w:tcPr>
            <w:tcW w:type="dxa" w:w="2268"/>
            <w:shd w:fill="EAF1F5"/>
            <w:tcMar>
              <w:top w:w="90" w:type="dxa"/>
              <w:start w:w="90" w:type="dxa"/>
              <w:bottom w:w="90" w:type="dxa"/>
              <w:end w:w="90" w:type="dxa"/>
            </w:tcMar>
            <w:vAlign w:val="center"/>
          </w:tcPr>
          <w:p>
            <w:pPr>
              <w:spacing w:after="0"/>
            </w:pPr>
            <w:r>
              <w:rPr>
                <w:b/>
                <w:sz w:val="18"/>
              </w:rPr>
              <w:t>Fristnotiz</w:t>
            </w:r>
          </w:p>
        </w:tc>
        <w:tc>
          <w:tcPr>
            <w:tcW w:type="dxa" w:w="7200"/>
            <w:tcMar>
              <w:top w:w="90" w:type="dxa"/>
              <w:start w:w="90" w:type="dxa"/>
              <w:bottom w:w="90" w:type="dxa"/>
              <w:end w:w="90" w:type="dxa"/>
            </w:tcMar>
            <w:vAlign w:val="center"/>
          </w:tcPr>
          <w:p>
            <w:pPr>
              <w:spacing w:after="0"/>
            </w:pPr>
            <w:r>
              <w:rPr>
                <w:sz w:val="18"/>
              </w:rPr>
              <w:t>Vertragsende laut Kündigung: 31. Dezember 2026; weitere Fristen gesondert prüfen</w:t>
            </w:r>
          </w:p>
        </w:tc>
      </w:tr>
    </w:tbl>
    <w:p>
      <w:pPr>
        <w:spacing w:after="20"/>
      </w:pPr>
    </w:p>
    <w:p>
      <w:pPr>
        <w:pStyle w:val="Heading1"/>
      </w:pPr>
      <w:r>
        <w:t>1. Anlass des Mandats</w:t>
      </w:r>
    </w:p>
    <w:p>
      <w:pPr>
        <w:widowControl/>
      </w:pPr>
      <w:r>
        <w:t>Geschäftsführer Thorsten Altfeld meldete sich während einer Autofahrt aus dem Raum Gießen. Er übersandte noch im Gespräch die Kündigungs-E-Mail der Nordstern MedTech GmbH vom 22. Mai 2026 und bat um Prüfung der offenen Provisionsabrechnungen, der Stornoreserve, des verlangten Buchauszugs sowie der nachvertraglichen Wettbewerbsabrede.</w:t>
      </w:r>
    </w:p>
    <w:p>
      <w:pPr>
        <w:widowControl/>
      </w:pPr>
      <w:r>
        <w:t>Die Geschäftsbeziehung besteht nach Angaben des Mandanten seit dem schriftlichen Vertrag vom 3. Juni 2018. Vertragsgebiet sind Nordrhein-Westfalen und Hessen. Die Mandantin beschäftigt zwei Außendienstmitarbeiter und eine Teilzeitkraft im Innendienst; ein wesentlicher Teil des Jahresumsatzes entfällt auf Nordstern-Produkte.</w:t>
      </w:r>
    </w:p>
    <w:p>
      <w:pPr>
        <w:pStyle w:val="Heading1"/>
      </w:pPr>
      <w:r>
        <w:t>2. Tatsachenstand aus dem Erstkontakt</w:t>
      </w:r>
    </w:p>
    <w:tbl>
      <w:tblPr>
        <w:tblStyle w:val="TableGrid"/>
        <w:tblW w:type="auto" w:w="0"/>
        <w:tblLayout w:type="fixed"/>
        <w:tblLook w:firstColumn="1" w:firstRow="1" w:lastColumn="0" w:lastRow="0" w:noHBand="0" w:noVBand="1" w:val="04A0"/>
      </w:tblPr>
      <w:tblGrid>
        <w:gridCol w:w="1757"/>
        <w:gridCol w:w="3458"/>
        <w:gridCol w:w="2324"/>
        <w:gridCol w:w="1928"/>
      </w:tblGrid>
      <w:tr>
        <w:tc>
          <w:tcPr>
            <w:tcW w:type="dxa" w:w="2395"/>
            <w:shd w:fill="17324D"/>
            <w:tcMar>
              <w:top w:w="90" w:type="dxa"/>
              <w:start w:w="90" w:type="dxa"/>
              <w:bottom w:w="90" w:type="dxa"/>
              <w:end w:w="90" w:type="dxa"/>
            </w:tcMar>
          </w:tcPr>
          <w:p>
            <w:r>
              <w:rPr>
                <w:b/>
                <w:color w:val="FFFFFF"/>
                <w:sz w:val="17"/>
              </w:rPr>
              <w:t>Thema</w:t>
            </w:r>
          </w:p>
        </w:tc>
        <w:tc>
          <w:tcPr>
            <w:tcW w:type="dxa" w:w="2395"/>
            <w:shd w:fill="17324D"/>
            <w:tcMar>
              <w:top w:w="90" w:type="dxa"/>
              <w:start w:w="90" w:type="dxa"/>
              <w:bottom w:w="90" w:type="dxa"/>
              <w:end w:w="90" w:type="dxa"/>
            </w:tcMar>
          </w:tcPr>
          <w:p>
            <w:r>
              <w:rPr>
                <w:b/>
                <w:color w:val="FFFFFF"/>
                <w:sz w:val="17"/>
              </w:rPr>
              <w:t>Angabe des Mandanten</w:t>
            </w:r>
          </w:p>
        </w:tc>
        <w:tc>
          <w:tcPr>
            <w:tcW w:type="dxa" w:w="2395"/>
            <w:shd w:fill="17324D"/>
            <w:tcMar>
              <w:top w:w="90" w:type="dxa"/>
              <w:start w:w="90" w:type="dxa"/>
              <w:bottom w:w="90" w:type="dxa"/>
              <w:end w:w="90" w:type="dxa"/>
            </w:tcMar>
          </w:tcPr>
          <w:p>
            <w:r>
              <w:rPr>
                <w:b/>
                <w:color w:val="FFFFFF"/>
                <w:sz w:val="17"/>
              </w:rPr>
              <w:t>Vorhandener Beleg</w:t>
            </w:r>
          </w:p>
        </w:tc>
        <w:tc>
          <w:tcPr>
            <w:tcW w:type="dxa" w:w="2395"/>
            <w:shd w:fill="17324D"/>
            <w:tcMar>
              <w:top w:w="90" w:type="dxa"/>
              <w:start w:w="90" w:type="dxa"/>
              <w:bottom w:w="90" w:type="dxa"/>
              <w:end w:w="90" w:type="dxa"/>
            </w:tcMar>
          </w:tcPr>
          <w:p>
            <w:r>
              <w:rPr>
                <w:b/>
                <w:color w:val="FFFFFF"/>
                <w:sz w:val="17"/>
              </w:rPr>
              <w:t>Noch offen</w:t>
            </w:r>
          </w:p>
        </w:tc>
      </w:tr>
      <w:tr>
        <w:tc>
          <w:tcPr>
            <w:tcW w:type="dxa" w:w="1757"/>
            <w:tcMar>
              <w:top w:w="90" w:type="dxa"/>
              <w:start w:w="90" w:type="dxa"/>
              <w:bottom w:w="90" w:type="dxa"/>
              <w:end w:w="90" w:type="dxa"/>
            </w:tcMar>
            <w:vAlign w:val="top"/>
          </w:tcPr>
          <w:p>
            <w:pPr>
              <w:spacing w:after="0"/>
            </w:pPr>
            <w:r>
              <w:rPr>
                <w:sz w:val="16"/>
              </w:rPr>
              <w:t>Kündigung</w:t>
            </w:r>
          </w:p>
        </w:tc>
        <w:tc>
          <w:tcPr>
            <w:tcW w:type="dxa" w:w="3458"/>
            <w:tcMar>
              <w:top w:w="90" w:type="dxa"/>
              <w:start w:w="90" w:type="dxa"/>
              <w:bottom w:w="90" w:type="dxa"/>
              <w:end w:w="90" w:type="dxa"/>
            </w:tcMar>
            <w:vAlign w:val="top"/>
          </w:tcPr>
          <w:p>
            <w:pPr>
              <w:spacing w:after="0"/>
            </w:pPr>
            <w:r>
              <w:rPr>
                <w:sz w:val="16"/>
              </w:rPr>
              <w:t>Ordentliche Beendigung zum 31. Dezember 2026 wegen zentralem Online- und Key-Account-Vertrieb</w:t>
            </w:r>
          </w:p>
        </w:tc>
        <w:tc>
          <w:tcPr>
            <w:tcW w:type="dxa" w:w="2324"/>
            <w:tcMar>
              <w:top w:w="90" w:type="dxa"/>
              <w:start w:w="90" w:type="dxa"/>
              <w:bottom w:w="90" w:type="dxa"/>
              <w:end w:w="90" w:type="dxa"/>
            </w:tcMar>
            <w:vAlign w:val="top"/>
          </w:tcPr>
          <w:p>
            <w:pPr>
              <w:spacing w:after="0"/>
            </w:pPr>
            <w:r>
              <w:rPr>
                <w:sz w:val="16"/>
              </w:rPr>
              <w:t>E-Mail vom 22. Mai 2026</w:t>
            </w:r>
          </w:p>
        </w:tc>
        <w:tc>
          <w:tcPr>
            <w:tcW w:type="dxa" w:w="1928"/>
            <w:tcMar>
              <w:top w:w="90" w:type="dxa"/>
              <w:start w:w="90" w:type="dxa"/>
              <w:bottom w:w="90" w:type="dxa"/>
              <w:end w:w="90" w:type="dxa"/>
            </w:tcMar>
            <w:vAlign w:val="top"/>
          </w:tcPr>
          <w:p>
            <w:pPr>
              <w:spacing w:after="0"/>
            </w:pPr>
            <w:r>
              <w:rPr>
                <w:sz w:val="16"/>
              </w:rPr>
              <w:t>Originalvertrag, Anlagen und Zugangsnachweis</w:t>
            </w:r>
          </w:p>
        </w:tc>
      </w:tr>
      <w:tr>
        <w:tc>
          <w:tcPr>
            <w:tcW w:type="dxa" w:w="1757"/>
            <w:tcMar>
              <w:top w:w="90" w:type="dxa"/>
              <w:start w:w="90" w:type="dxa"/>
              <w:bottom w:w="90" w:type="dxa"/>
              <w:end w:w="90" w:type="dxa"/>
            </w:tcMar>
            <w:vAlign w:val="top"/>
            <w:shd w:fill="F5F7F8"/>
          </w:tcPr>
          <w:p>
            <w:pPr>
              <w:spacing w:after="0"/>
            </w:pPr>
            <w:r>
              <w:rPr>
                <w:sz w:val="16"/>
              </w:rPr>
              <w:t>Bezirksumsätze</w:t>
            </w:r>
          </w:p>
        </w:tc>
        <w:tc>
          <w:tcPr>
            <w:tcW w:type="dxa" w:w="3458"/>
            <w:tcMar>
              <w:top w:w="90" w:type="dxa"/>
              <w:start w:w="90" w:type="dxa"/>
              <w:bottom w:w="90" w:type="dxa"/>
              <w:end w:w="90" w:type="dxa"/>
            </w:tcMar>
            <w:vAlign w:val="top"/>
            <w:shd w:fill="F5F7F8"/>
          </w:tcPr>
          <w:p>
            <w:pPr>
              <w:spacing w:after="0"/>
            </w:pPr>
            <w:r>
              <w:rPr>
                <w:sz w:val="16"/>
              </w:rPr>
              <w:t>Online-Bestellungen aus NRW und Hessen seien seit Herbst 2024 nicht vollständig verprovisioniert</w:t>
            </w:r>
          </w:p>
        </w:tc>
        <w:tc>
          <w:tcPr>
            <w:tcW w:type="dxa" w:w="2324"/>
            <w:tcMar>
              <w:top w:w="90" w:type="dxa"/>
              <w:start w:w="90" w:type="dxa"/>
              <w:bottom w:w="90" w:type="dxa"/>
              <w:end w:w="90" w:type="dxa"/>
            </w:tcMar>
            <w:vAlign w:val="top"/>
            <w:shd w:fill="F5F7F8"/>
          </w:tcPr>
          <w:p>
            <w:pPr>
              <w:spacing w:after="0"/>
            </w:pPr>
            <w:r>
              <w:rPr>
                <w:sz w:val="16"/>
              </w:rPr>
              <w:t>Provisionsdatei mit drei Beispielvorgängen</w:t>
            </w:r>
          </w:p>
        </w:tc>
        <w:tc>
          <w:tcPr>
            <w:tcW w:type="dxa" w:w="1928"/>
            <w:tcMar>
              <w:top w:w="90" w:type="dxa"/>
              <w:start w:w="90" w:type="dxa"/>
              <w:bottom w:w="90" w:type="dxa"/>
              <w:end w:w="90" w:type="dxa"/>
            </w:tcMar>
            <w:vAlign w:val="top"/>
            <w:shd w:fill="F5F7F8"/>
          </w:tcPr>
          <w:p>
            <w:pPr>
              <w:spacing w:after="0"/>
            </w:pPr>
            <w:r>
              <w:rPr>
                <w:sz w:val="16"/>
              </w:rPr>
              <w:t>Vollständiger Buchauszug, Postleitzahl-Export, Rahmenvertragsabrufe</w:t>
            </w:r>
          </w:p>
        </w:tc>
      </w:tr>
      <w:tr>
        <w:tc>
          <w:tcPr>
            <w:tcW w:type="dxa" w:w="1757"/>
            <w:tcMar>
              <w:top w:w="90" w:type="dxa"/>
              <w:start w:w="90" w:type="dxa"/>
              <w:bottom w:w="90" w:type="dxa"/>
              <w:end w:w="90" w:type="dxa"/>
            </w:tcMar>
            <w:vAlign w:val="top"/>
          </w:tcPr>
          <w:p>
            <w:pPr>
              <w:spacing w:after="0"/>
            </w:pPr>
            <w:r>
              <w:rPr>
                <w:sz w:val="16"/>
              </w:rPr>
              <w:t>Neukunden</w:t>
            </w:r>
          </w:p>
        </w:tc>
        <w:tc>
          <w:tcPr>
            <w:tcW w:type="dxa" w:w="3458"/>
            <w:tcMar>
              <w:top w:w="90" w:type="dxa"/>
              <w:start w:w="90" w:type="dxa"/>
              <w:bottom w:w="90" w:type="dxa"/>
              <w:end w:w="90" w:type="dxa"/>
            </w:tcMar>
            <w:vAlign w:val="top"/>
          </w:tcPr>
          <w:p>
            <w:pPr>
              <w:spacing w:after="0"/>
            </w:pPr>
            <w:r>
              <w:rPr>
                <w:sz w:val="16"/>
              </w:rPr>
              <w:t>Klinikum Westbogen, Praxisnetz Lahntal und weitere Einrichtungen seien durch eigene Besuche aufgebaut worden</w:t>
            </w:r>
          </w:p>
        </w:tc>
        <w:tc>
          <w:tcPr>
            <w:tcW w:type="dxa" w:w="2324"/>
            <w:tcMar>
              <w:top w:w="90" w:type="dxa"/>
              <w:start w:w="90" w:type="dxa"/>
              <w:bottom w:w="90" w:type="dxa"/>
              <w:end w:w="90" w:type="dxa"/>
            </w:tcMar>
            <w:vAlign w:val="top"/>
          </w:tcPr>
          <w:p>
            <w:pPr>
              <w:spacing w:after="0"/>
            </w:pPr>
            <w:r>
              <w:rPr>
                <w:sz w:val="16"/>
              </w:rPr>
              <w:t>Kundenliste und CRM-Screenshot</w:t>
            </w:r>
          </w:p>
        </w:tc>
        <w:tc>
          <w:tcPr>
            <w:tcW w:type="dxa" w:w="1928"/>
            <w:tcMar>
              <w:top w:w="90" w:type="dxa"/>
              <w:start w:w="90" w:type="dxa"/>
              <w:bottom w:w="90" w:type="dxa"/>
              <w:end w:w="90" w:type="dxa"/>
            </w:tcMar>
            <w:vAlign w:val="top"/>
          </w:tcPr>
          <w:p>
            <w:pPr>
              <w:spacing w:after="0"/>
            </w:pPr>
            <w:r>
              <w:rPr>
                <w:sz w:val="16"/>
              </w:rPr>
              <w:t>Erstkontakte, Folgeaufträge, Ansprechpartner und Zuordnung zentraler Accounts</w:t>
            </w:r>
          </w:p>
        </w:tc>
      </w:tr>
      <w:tr>
        <w:tc>
          <w:tcPr>
            <w:tcW w:type="dxa" w:w="1757"/>
            <w:tcMar>
              <w:top w:w="90" w:type="dxa"/>
              <w:start w:w="90" w:type="dxa"/>
              <w:bottom w:w="90" w:type="dxa"/>
              <w:end w:w="90" w:type="dxa"/>
            </w:tcMar>
            <w:vAlign w:val="top"/>
            <w:shd w:fill="F5F7F8"/>
          </w:tcPr>
          <w:p>
            <w:pPr>
              <w:spacing w:after="0"/>
            </w:pPr>
            <w:r>
              <w:rPr>
                <w:sz w:val="16"/>
              </w:rPr>
              <w:t>Stornoreserve</w:t>
            </w:r>
          </w:p>
        </w:tc>
        <w:tc>
          <w:tcPr>
            <w:tcW w:type="dxa" w:w="3458"/>
            <w:tcMar>
              <w:top w:w="90" w:type="dxa"/>
              <w:start w:w="90" w:type="dxa"/>
              <w:bottom w:w="90" w:type="dxa"/>
              <w:end w:w="90" w:type="dxa"/>
            </w:tcMar>
            <w:vAlign w:val="top"/>
            <w:shd w:fill="F5F7F8"/>
          </w:tcPr>
          <w:p>
            <w:pPr>
              <w:spacing w:after="0"/>
            </w:pPr>
            <w:r>
              <w:rPr>
                <w:sz w:val="16"/>
              </w:rPr>
              <w:t>Zwanzig Prozent würden pauschal bis zu 18 Monate einbehalten</w:t>
            </w:r>
          </w:p>
        </w:tc>
        <w:tc>
          <w:tcPr>
            <w:tcW w:type="dxa" w:w="2324"/>
            <w:tcMar>
              <w:top w:w="90" w:type="dxa"/>
              <w:start w:w="90" w:type="dxa"/>
              <w:bottom w:w="90" w:type="dxa"/>
              <w:end w:w="90" w:type="dxa"/>
            </w:tcMar>
            <w:vAlign w:val="top"/>
            <w:shd w:fill="F5F7F8"/>
          </w:tcPr>
          <w:p>
            <w:pPr>
              <w:spacing w:after="0"/>
            </w:pPr>
            <w:r>
              <w:rPr>
                <w:sz w:val="16"/>
              </w:rPr>
              <w:t>Abrechnung PO-1920</w:t>
            </w:r>
          </w:p>
        </w:tc>
        <w:tc>
          <w:tcPr>
            <w:tcW w:type="dxa" w:w="1928"/>
            <w:tcMar>
              <w:top w:w="90" w:type="dxa"/>
              <w:start w:w="90" w:type="dxa"/>
              <w:bottom w:w="90" w:type="dxa"/>
              <w:end w:w="90" w:type="dxa"/>
            </w:tcMar>
            <w:vAlign w:val="top"/>
            <w:shd w:fill="F5F7F8"/>
          </w:tcPr>
          <w:p>
            <w:pPr>
              <w:spacing w:after="0"/>
            </w:pPr>
            <w:r>
              <w:rPr>
                <w:sz w:val="16"/>
              </w:rPr>
              <w:t>Einzelfallgründe, Ausführungsstand, Freigaben und Rückzahlungen</w:t>
            </w:r>
          </w:p>
        </w:tc>
      </w:tr>
      <w:tr>
        <w:tc>
          <w:tcPr>
            <w:tcW w:type="dxa" w:w="1757"/>
            <w:tcMar>
              <w:top w:w="90" w:type="dxa"/>
              <w:start w:w="90" w:type="dxa"/>
              <w:bottom w:w="90" w:type="dxa"/>
              <w:end w:w="90" w:type="dxa"/>
            </w:tcMar>
            <w:vAlign w:val="top"/>
          </w:tcPr>
          <w:p>
            <w:pPr>
              <w:spacing w:after="0"/>
            </w:pPr>
            <w:r>
              <w:rPr>
                <w:sz w:val="16"/>
              </w:rPr>
              <w:t>Wettbewerbsabrede</w:t>
            </w:r>
          </w:p>
        </w:tc>
        <w:tc>
          <w:tcPr>
            <w:tcW w:type="dxa" w:w="3458"/>
            <w:tcMar>
              <w:top w:w="90" w:type="dxa"/>
              <w:start w:w="90" w:type="dxa"/>
              <w:bottom w:w="90" w:type="dxa"/>
              <w:end w:w="90" w:type="dxa"/>
            </w:tcMar>
            <w:vAlign w:val="top"/>
          </w:tcPr>
          <w:p>
            <w:pPr>
              <w:spacing w:after="0"/>
            </w:pPr>
            <w:r>
              <w:rPr>
                <w:sz w:val="16"/>
              </w:rPr>
              <w:t>24 Monate, bundesweiter Produktbezug, Karenzregel unklar</w:t>
            </w:r>
          </w:p>
        </w:tc>
        <w:tc>
          <w:tcPr>
            <w:tcW w:type="dxa" w:w="2324"/>
            <w:tcMar>
              <w:top w:w="90" w:type="dxa"/>
              <w:start w:w="90" w:type="dxa"/>
              <w:bottom w:w="90" w:type="dxa"/>
              <w:end w:w="90" w:type="dxa"/>
            </w:tcMar>
            <w:vAlign w:val="top"/>
          </w:tcPr>
          <w:p>
            <w:pPr>
              <w:spacing w:after="0"/>
            </w:pPr>
            <w:r>
              <w:rPr>
                <w:sz w:val="16"/>
              </w:rPr>
              <w:t>Vertragsauszug</w:t>
            </w:r>
          </w:p>
        </w:tc>
        <w:tc>
          <w:tcPr>
            <w:tcW w:type="dxa" w:w="1928"/>
            <w:tcMar>
              <w:top w:w="90" w:type="dxa"/>
              <w:start w:w="90" w:type="dxa"/>
              <w:bottom w:w="90" w:type="dxa"/>
              <w:end w:w="90" w:type="dxa"/>
            </w:tcMar>
            <w:vAlign w:val="top"/>
          </w:tcPr>
          <w:p>
            <w:pPr>
              <w:spacing w:after="0"/>
            </w:pPr>
            <w:r>
              <w:rPr>
                <w:sz w:val="16"/>
              </w:rPr>
              <w:t>Vollständige Klausel, Aushändigung, etwaige Verzichtserklärung</w:t>
            </w:r>
          </w:p>
        </w:tc>
      </w:tr>
    </w:tbl>
    <w:p>
      <w:pPr>
        <w:spacing w:after="20"/>
      </w:pPr>
    </w:p>
    <w:p>
      <w:pPr>
        <w:pStyle w:val="Heading1"/>
      </w:pPr>
      <w:r>
        <w:t>3. Übergebene Unterlagen</w:t>
      </w:r>
    </w:p>
    <w:p>
      <w:pPr>
        <w:widowControl/>
      </w:pPr>
      <w:r>
        <w:t>Per E-Mail gingen die Kündigung, das anwaltliche Buchauszugsverlangen vom 25. Mai 2026, ein Vertragsauszug, eine Excel-Datei mit drei Provisionsvorgängen und ein CRM-Screenshot ein. Der Mandant kündigte einen Aktenordner mit dem Originalvertrag, Provisionsabrechnungen 2023 bis 2025 und Reisekalendern für den 5. Juni 2026 an.</w:t>
      </w:r>
    </w:p>
    <w:p>
      <w:pPr>
        <w:widowControl/>
      </w:pPr>
      <w:r>
        <w:t>Der Mandant wies darauf hin, dass einzelne Aufzeichnungen unter dem früheren Firmenkonto „Altfeld Medizinhandel“ geführt werden. Vor Verwendung ist daher zu klären, welche Gesellschaft jeweils Vertragspartner und Rechnungsempfänger war.</w:t>
      </w:r>
    </w:p>
    <w:p>
      <w:pPr>
        <w:pStyle w:val="Heading1"/>
      </w:pPr>
      <w:r>
        <w:t>4. Arbeitsauftrag bis zur Besprechung</w:t>
      </w:r>
    </w:p>
    <w:tbl>
      <w:tblPr>
        <w:tblStyle w:val="TableGrid"/>
        <w:tblW w:type="auto" w:w="0"/>
        <w:tblLayout w:type="fixed"/>
        <w:tblLook w:firstColumn="1" w:firstRow="1" w:lastColumn="0" w:lastRow="0" w:noHBand="0" w:noVBand="1" w:val="04A0"/>
      </w:tblPr>
      <w:tblGrid>
        <w:gridCol w:w="3061"/>
        <w:gridCol w:w="1814"/>
        <w:gridCol w:w="1871"/>
        <w:gridCol w:w="2721"/>
      </w:tblGrid>
      <w:tr>
        <w:tc>
          <w:tcPr>
            <w:tcW w:type="dxa" w:w="2395"/>
            <w:shd w:fill="17324D"/>
            <w:tcMar>
              <w:top w:w="90" w:type="dxa"/>
              <w:start w:w="90" w:type="dxa"/>
              <w:bottom w:w="90" w:type="dxa"/>
              <w:end w:w="90" w:type="dxa"/>
            </w:tcMar>
          </w:tcPr>
          <w:p>
            <w:r>
              <w:rPr>
                <w:b/>
                <w:color w:val="FFFFFF"/>
                <w:sz w:val="17"/>
              </w:rPr>
              <w:t>Arbeitsschritt</w:t>
            </w:r>
          </w:p>
        </w:tc>
        <w:tc>
          <w:tcPr>
            <w:tcW w:type="dxa" w:w="2395"/>
            <w:shd w:fill="17324D"/>
            <w:tcMar>
              <w:top w:w="90" w:type="dxa"/>
              <w:start w:w="90" w:type="dxa"/>
              <w:bottom w:w="90" w:type="dxa"/>
              <w:end w:w="90" w:type="dxa"/>
            </w:tcMar>
          </w:tcPr>
          <w:p>
            <w:r>
              <w:rPr>
                <w:b/>
                <w:color w:val="FFFFFF"/>
                <w:sz w:val="17"/>
              </w:rPr>
              <w:t>Verantwortlich</w:t>
            </w:r>
          </w:p>
        </w:tc>
        <w:tc>
          <w:tcPr>
            <w:tcW w:type="dxa" w:w="2395"/>
            <w:shd w:fill="17324D"/>
            <w:tcMar>
              <w:top w:w="90" w:type="dxa"/>
              <w:start w:w="90" w:type="dxa"/>
              <w:bottom w:w="90" w:type="dxa"/>
              <w:end w:w="90" w:type="dxa"/>
            </w:tcMar>
          </w:tcPr>
          <w:p>
            <w:r>
              <w:rPr>
                <w:b/>
                <w:color w:val="FFFFFF"/>
                <w:sz w:val="17"/>
              </w:rPr>
              <w:t>Termin</w:t>
            </w:r>
          </w:p>
        </w:tc>
        <w:tc>
          <w:tcPr>
            <w:tcW w:type="dxa" w:w="2395"/>
            <w:shd w:fill="17324D"/>
            <w:tcMar>
              <w:top w:w="90" w:type="dxa"/>
              <w:start w:w="90" w:type="dxa"/>
              <w:bottom w:w="90" w:type="dxa"/>
              <w:end w:w="90" w:type="dxa"/>
            </w:tcMar>
          </w:tcPr>
          <w:p>
            <w:r>
              <w:rPr>
                <w:b/>
                <w:color w:val="FFFFFF"/>
                <w:sz w:val="17"/>
              </w:rPr>
              <w:t>Erwartetes Ergebnis</w:t>
            </w:r>
          </w:p>
        </w:tc>
      </w:tr>
      <w:tr>
        <w:tc>
          <w:tcPr>
            <w:tcW w:type="dxa" w:w="3061"/>
            <w:tcMar>
              <w:top w:w="90" w:type="dxa"/>
              <w:start w:w="90" w:type="dxa"/>
              <w:bottom w:w="90" w:type="dxa"/>
              <w:end w:w="90" w:type="dxa"/>
            </w:tcMar>
            <w:vAlign w:val="top"/>
          </w:tcPr>
          <w:p>
            <w:pPr>
              <w:spacing w:after="0"/>
            </w:pPr>
            <w:r>
              <w:rPr>
                <w:sz w:val="16"/>
              </w:rPr>
              <w:t>Vertrag, Nachträge und Anlagen vollständig erfassen</w:t>
            </w:r>
          </w:p>
        </w:tc>
        <w:tc>
          <w:tcPr>
            <w:tcW w:type="dxa" w:w="1814"/>
            <w:tcMar>
              <w:top w:w="90" w:type="dxa"/>
              <w:start w:w="90" w:type="dxa"/>
              <w:bottom w:w="90" w:type="dxa"/>
              <w:end w:w="90" w:type="dxa"/>
            </w:tcMar>
            <w:vAlign w:val="top"/>
          </w:tcPr>
          <w:p>
            <w:pPr>
              <w:spacing w:after="0"/>
            </w:pPr>
            <w:r>
              <w:rPr>
                <w:sz w:val="16"/>
              </w:rPr>
              <w:t>Sekretariat / Mandantin</w:t>
            </w:r>
          </w:p>
        </w:tc>
        <w:tc>
          <w:tcPr>
            <w:tcW w:type="dxa" w:w="1871"/>
            <w:tcMar>
              <w:top w:w="90" w:type="dxa"/>
              <w:start w:w="90" w:type="dxa"/>
              <w:bottom w:w="90" w:type="dxa"/>
              <w:end w:w="90" w:type="dxa"/>
            </w:tcMar>
            <w:vAlign w:val="top"/>
          </w:tcPr>
          <w:p>
            <w:pPr>
              <w:spacing w:after="0"/>
            </w:pPr>
            <w:r>
              <w:rPr>
                <w:sz w:val="16"/>
              </w:rPr>
              <w:t>5. Juni 2026, 09:30 Uhr</w:t>
            </w:r>
          </w:p>
        </w:tc>
        <w:tc>
          <w:tcPr>
            <w:tcW w:type="dxa" w:w="2721"/>
            <w:tcMar>
              <w:top w:w="90" w:type="dxa"/>
              <w:start w:w="90" w:type="dxa"/>
              <w:bottom w:w="90" w:type="dxa"/>
              <w:end w:w="90" w:type="dxa"/>
            </w:tcMar>
            <w:vAlign w:val="top"/>
          </w:tcPr>
          <w:p>
            <w:pPr>
              <w:spacing w:after="0"/>
            </w:pPr>
            <w:r>
              <w:rPr>
                <w:sz w:val="16"/>
              </w:rPr>
              <w:t>Dokumentenregister mit fehlenden Seiten</w:t>
            </w:r>
          </w:p>
        </w:tc>
      </w:tr>
      <w:tr>
        <w:tc>
          <w:tcPr>
            <w:tcW w:type="dxa" w:w="3061"/>
            <w:tcMar>
              <w:top w:w="90" w:type="dxa"/>
              <w:start w:w="90" w:type="dxa"/>
              <w:bottom w:w="90" w:type="dxa"/>
              <w:end w:w="90" w:type="dxa"/>
            </w:tcMar>
            <w:vAlign w:val="top"/>
            <w:shd w:fill="F5F7F8"/>
          </w:tcPr>
          <w:p>
            <w:pPr>
              <w:spacing w:after="0"/>
            </w:pPr>
            <w:r>
              <w:rPr>
                <w:sz w:val="16"/>
              </w:rPr>
              <w:t>Provisionsdaten und Kundenhistorie abgleichen</w:t>
            </w:r>
          </w:p>
        </w:tc>
        <w:tc>
          <w:tcPr>
            <w:tcW w:type="dxa" w:w="1814"/>
            <w:tcMar>
              <w:top w:w="90" w:type="dxa"/>
              <w:start w:w="90" w:type="dxa"/>
              <w:bottom w:w="90" w:type="dxa"/>
              <w:end w:w="90" w:type="dxa"/>
            </w:tcMar>
            <w:vAlign w:val="top"/>
            <w:shd w:fill="F5F7F8"/>
          </w:tcPr>
          <w:p>
            <w:pPr>
              <w:spacing w:after="0"/>
            </w:pPr>
            <w:r>
              <w:rPr>
                <w:sz w:val="16"/>
              </w:rPr>
              <w:t>Stefanie Pollok</w:t>
            </w:r>
          </w:p>
        </w:tc>
        <w:tc>
          <w:tcPr>
            <w:tcW w:type="dxa" w:w="1871"/>
            <w:tcMar>
              <w:top w:w="90" w:type="dxa"/>
              <w:start w:w="90" w:type="dxa"/>
              <w:bottom w:w="90" w:type="dxa"/>
              <w:end w:w="90" w:type="dxa"/>
            </w:tcMar>
            <w:vAlign w:val="top"/>
            <w:shd w:fill="F5F7F8"/>
          </w:tcPr>
          <w:p>
            <w:pPr>
              <w:spacing w:after="0"/>
            </w:pPr>
            <w:r>
              <w:rPr>
                <w:sz w:val="16"/>
              </w:rPr>
              <w:t>8. Juni 2026</w:t>
            </w:r>
          </w:p>
        </w:tc>
        <w:tc>
          <w:tcPr>
            <w:tcW w:type="dxa" w:w="2721"/>
            <w:tcMar>
              <w:top w:w="90" w:type="dxa"/>
              <w:start w:w="90" w:type="dxa"/>
              <w:bottom w:w="90" w:type="dxa"/>
              <w:end w:w="90" w:type="dxa"/>
            </w:tcMar>
            <w:vAlign w:val="top"/>
            <w:shd w:fill="F5F7F8"/>
          </w:tcPr>
          <w:p>
            <w:pPr>
              <w:spacing w:after="0"/>
            </w:pPr>
            <w:r>
              <w:rPr>
                <w:sz w:val="16"/>
              </w:rPr>
              <w:t>Tabelle je Geschäft mit Quelle und Abweichung</w:t>
            </w:r>
          </w:p>
        </w:tc>
      </w:tr>
      <w:tr>
        <w:tc>
          <w:tcPr>
            <w:tcW w:type="dxa" w:w="3061"/>
            <w:tcMar>
              <w:top w:w="90" w:type="dxa"/>
              <w:start w:w="90" w:type="dxa"/>
              <w:bottom w:w="90" w:type="dxa"/>
              <w:end w:w="90" w:type="dxa"/>
            </w:tcMar>
            <w:vAlign w:val="top"/>
          </w:tcPr>
          <w:p>
            <w:pPr>
              <w:spacing w:after="0"/>
            </w:pPr>
            <w:r>
              <w:rPr>
                <w:sz w:val="16"/>
              </w:rPr>
              <w:t>Buchauszugsverlangen und Zustellnachweis prüfen</w:t>
            </w:r>
          </w:p>
        </w:tc>
        <w:tc>
          <w:tcPr>
            <w:tcW w:type="dxa" w:w="1814"/>
            <w:tcMar>
              <w:top w:w="90" w:type="dxa"/>
              <w:start w:w="90" w:type="dxa"/>
              <w:bottom w:w="90" w:type="dxa"/>
              <w:end w:w="90" w:type="dxa"/>
            </w:tcMar>
            <w:vAlign w:val="top"/>
          </w:tcPr>
          <w:p>
            <w:pPr>
              <w:spacing w:after="0"/>
            </w:pPr>
            <w:r>
              <w:rPr>
                <w:sz w:val="16"/>
              </w:rPr>
              <w:t>Dr. Frank Rohrhuber</w:t>
            </w:r>
          </w:p>
        </w:tc>
        <w:tc>
          <w:tcPr>
            <w:tcW w:type="dxa" w:w="1871"/>
            <w:tcMar>
              <w:top w:w="90" w:type="dxa"/>
              <w:start w:w="90" w:type="dxa"/>
              <w:bottom w:w="90" w:type="dxa"/>
              <w:end w:w="90" w:type="dxa"/>
            </w:tcMar>
            <w:vAlign w:val="top"/>
          </w:tcPr>
          <w:p>
            <w:pPr>
              <w:spacing w:after="0"/>
            </w:pPr>
            <w:r>
              <w:rPr>
                <w:sz w:val="16"/>
              </w:rPr>
              <w:t>8. Juni 2026</w:t>
            </w:r>
          </w:p>
        </w:tc>
        <w:tc>
          <w:tcPr>
            <w:tcW w:type="dxa" w:w="2721"/>
            <w:tcMar>
              <w:top w:w="90" w:type="dxa"/>
              <w:start w:w="90" w:type="dxa"/>
              <w:bottom w:w="90" w:type="dxa"/>
              <w:end w:w="90" w:type="dxa"/>
            </w:tcMar>
            <w:vAlign w:val="top"/>
          </w:tcPr>
          <w:p>
            <w:pPr>
              <w:spacing w:after="0"/>
            </w:pPr>
            <w:r>
              <w:rPr>
                <w:sz w:val="16"/>
              </w:rPr>
              <w:t>Versandfertiger Nachforderungsentwurf</w:t>
            </w:r>
          </w:p>
        </w:tc>
      </w:tr>
      <w:tr>
        <w:tc>
          <w:tcPr>
            <w:tcW w:type="dxa" w:w="3061"/>
            <w:tcMar>
              <w:top w:w="90" w:type="dxa"/>
              <w:start w:w="90" w:type="dxa"/>
              <w:bottom w:w="90" w:type="dxa"/>
              <w:end w:w="90" w:type="dxa"/>
            </w:tcMar>
            <w:vAlign w:val="top"/>
            <w:shd w:fill="F5F7F8"/>
          </w:tcPr>
          <w:p>
            <w:pPr>
              <w:spacing w:after="0"/>
            </w:pPr>
            <w:r>
              <w:rPr>
                <w:sz w:val="16"/>
              </w:rPr>
              <w:t>Zeugen und Datenzugriffe sichern</w:t>
            </w:r>
          </w:p>
        </w:tc>
        <w:tc>
          <w:tcPr>
            <w:tcW w:type="dxa" w:w="1814"/>
            <w:tcMar>
              <w:top w:w="90" w:type="dxa"/>
              <w:start w:w="90" w:type="dxa"/>
              <w:bottom w:w="90" w:type="dxa"/>
              <w:end w:w="90" w:type="dxa"/>
            </w:tcMar>
            <w:vAlign w:val="top"/>
            <w:shd w:fill="F5F7F8"/>
          </w:tcPr>
          <w:p>
            <w:pPr>
              <w:spacing w:after="0"/>
            </w:pPr>
            <w:r>
              <w:rPr>
                <w:sz w:val="16"/>
              </w:rPr>
              <w:t>Mandantin</w:t>
            </w:r>
          </w:p>
        </w:tc>
        <w:tc>
          <w:tcPr>
            <w:tcW w:type="dxa" w:w="1871"/>
            <w:tcMar>
              <w:top w:w="90" w:type="dxa"/>
              <w:start w:w="90" w:type="dxa"/>
              <w:bottom w:w="90" w:type="dxa"/>
              <w:end w:w="90" w:type="dxa"/>
            </w:tcMar>
            <w:vAlign w:val="top"/>
            <w:shd w:fill="F5F7F8"/>
          </w:tcPr>
          <w:p>
            <w:pPr>
              <w:spacing w:after="0"/>
            </w:pPr>
            <w:r>
              <w:rPr>
                <w:sz w:val="16"/>
              </w:rPr>
              <w:t>10. Juni 2026</w:t>
            </w:r>
          </w:p>
        </w:tc>
        <w:tc>
          <w:tcPr>
            <w:tcW w:type="dxa" w:w="2721"/>
            <w:tcMar>
              <w:top w:w="90" w:type="dxa"/>
              <w:start w:w="90" w:type="dxa"/>
              <w:bottom w:w="90" w:type="dxa"/>
              <w:end w:w="90" w:type="dxa"/>
            </w:tcMar>
            <w:vAlign w:val="top"/>
            <w:shd w:fill="F5F7F8"/>
          </w:tcPr>
          <w:p>
            <w:pPr>
              <w:spacing w:after="0"/>
            </w:pPr>
            <w:r>
              <w:rPr>
                <w:sz w:val="16"/>
              </w:rPr>
              <w:t>Kontaktdaten, Rolle, Beweisthema, Datenexport</w:t>
            </w:r>
          </w:p>
        </w:tc>
      </w:tr>
      <w:tr>
        <w:tc>
          <w:tcPr>
            <w:tcW w:type="dxa" w:w="3061"/>
            <w:tcMar>
              <w:top w:w="90" w:type="dxa"/>
              <w:start w:w="90" w:type="dxa"/>
              <w:bottom w:w="90" w:type="dxa"/>
              <w:end w:w="90" w:type="dxa"/>
            </w:tcMar>
            <w:vAlign w:val="top"/>
          </w:tcPr>
          <w:p>
            <w:pPr>
              <w:spacing w:after="0"/>
            </w:pPr>
            <w:r>
              <w:rPr>
                <w:sz w:val="16"/>
              </w:rPr>
              <w:t>Wirtschaftliches Ziel und Verhandlungsvollmacht klären</w:t>
            </w:r>
          </w:p>
        </w:tc>
        <w:tc>
          <w:tcPr>
            <w:tcW w:type="dxa" w:w="1814"/>
            <w:tcMar>
              <w:top w:w="90" w:type="dxa"/>
              <w:start w:w="90" w:type="dxa"/>
              <w:bottom w:w="90" w:type="dxa"/>
              <w:end w:w="90" w:type="dxa"/>
            </w:tcMar>
            <w:vAlign w:val="top"/>
          </w:tcPr>
          <w:p>
            <w:pPr>
              <w:spacing w:after="0"/>
            </w:pPr>
            <w:r>
              <w:rPr>
                <w:sz w:val="16"/>
              </w:rPr>
              <w:t>Mandantin / Geschäftsführung</w:t>
            </w:r>
          </w:p>
        </w:tc>
        <w:tc>
          <w:tcPr>
            <w:tcW w:type="dxa" w:w="1871"/>
            <w:tcMar>
              <w:top w:w="90" w:type="dxa"/>
              <w:start w:w="90" w:type="dxa"/>
              <w:bottom w:w="90" w:type="dxa"/>
              <w:end w:w="90" w:type="dxa"/>
            </w:tcMar>
            <w:vAlign w:val="top"/>
          </w:tcPr>
          <w:p>
            <w:pPr>
              <w:spacing w:after="0"/>
            </w:pPr>
            <w:r>
              <w:rPr>
                <w:sz w:val="16"/>
              </w:rPr>
              <w:t>12. Juni 2026</w:t>
            </w:r>
          </w:p>
        </w:tc>
        <w:tc>
          <w:tcPr>
            <w:tcW w:type="dxa" w:w="2721"/>
            <w:tcMar>
              <w:top w:w="90" w:type="dxa"/>
              <w:start w:w="90" w:type="dxa"/>
              <w:bottom w:w="90" w:type="dxa"/>
              <w:end w:w="90" w:type="dxa"/>
            </w:tcMar>
            <w:vAlign w:val="top"/>
          </w:tcPr>
          <w:p>
            <w:pPr>
              <w:spacing w:after="0"/>
            </w:pPr>
            <w:r>
              <w:rPr>
                <w:sz w:val="16"/>
              </w:rPr>
              <w:t>Beschluss oder Gesprächsvermerk</w:t>
            </w:r>
          </w:p>
        </w:tc>
      </w:tr>
    </w:tbl>
    <w:p>
      <w:pPr>
        <w:spacing w:after="20"/>
      </w:pPr>
    </w:p>
    <w:p>
      <w:pPr>
        <w:pStyle w:val="Heading1"/>
      </w:pPr>
      <w:r>
        <w:t>5. Gesprächsvermerk</w:t>
      </w:r>
    </w:p>
    <w:p>
      <w:pPr>
        <w:widowControl/>
      </w:pPr>
      <w:r>
        <w:t>Der Mandant wirkte unter Zeitdruck und konnte die unterschiedlichen Firmennamen in älteren Abrechnungen nicht abschließend erklären. Er bat darum, Frau Anja Altfeld aus der Buchhaltung in die Folgebesprechung einzubeziehen. Keine telefonische Aussage wurde als abschließende Tatsachenbestätigung behandelt.</w:t>
      </w:r>
    </w:p>
    <w:p>
      <w:pPr>
        <w:keepLines/>
        <w:spacing w:before="120"/>
      </w:pPr>
      <w:r>
        <w:rPr>
          <w:b/>
        </w:rPr>
        <w:t>Aufgenommen und diktiert von Stefanie Pollok, Rechtsanwältin</w:t>
      </w:r>
    </w:p>
    <w:sectPr w:rsidR="00FC693F" w:rsidRPr="0006063C" w:rsidSect="00034616">
      <w:footerReference w:type="default" r:id="rId9"/>
      <w:pgSz w:w="11906" w:h="16838"/>
      <w:pgMar w:top="1247" w:right="1134" w:bottom="1020" w:left="119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59636B"/>
        <w:sz w:val="16"/>
      </w:rPr>
      <w:t xml:space="preserve">RHEINBLICK RECHTSANWÄLTE PartG mbB · RB-341/26-HV · Seite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2026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668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7324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