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Vergleichsentwurf Arbeitsstand</w:t>
      </w:r>
    </w:p>
    <w:p>
      <w:r>
        <w:t>Nordstern erteilt einen vollständigen Buchauszug für das Vertragsgebiet einschließlich Online- und Key-Account-Umsätzen binnen 21 Tagen. Die Parteien verhandeln anschließend über Provision, Stornoreserve und Ausgleich.</w:t>
      </w:r>
    </w:p>
    <w:p>
      <w:r>
        <w:t>Die Wettbewerbsabrede wird bis zur Klärung nicht durchgesetzt; beide Seiten wahren Geschäftsgeheimnisse und Kundendaten.</w:t>
      </w:r>
    </w:p>
    <w:p>
      <w:pPr>
        <w:pStyle w:val="ListBullet"/>
      </w:pPr>
      <w:r>
        <w:t>Keine Anerkennung einer Rechtspflicht</w:t>
      </w:r>
    </w:p>
    <w:p>
      <w:pPr>
        <w:pStyle w:val="ListBullet"/>
      </w:pPr>
      <w:r>
        <w:t>Ausgleichsvorbehalt bleibt bis Berechnung offen</w:t>
      </w:r>
    </w:p>
    <w:p>
      <w:pPr>
        <w:pStyle w:val="ListBullet"/>
      </w:pPr>
      <w:r>
        <w:t>Datenrückgabe und CRM-Export gesondert</w:t>
      </w:r>
    </w:p>
    <w:p>
      <w:pPr>
        <w:pStyle w:val="Heading1"/>
      </w:pPr>
      <w:r>
        <w:t>Verhandlungsstand 12. Juni 2026</w:t>
      </w:r>
    </w:p>
    <w:p>
      <w:pPr>
        <w:pStyle w:val="Heading2"/>
      </w:pPr>
      <w:r>
        <w:t>Teilnehmer und Ausgangszahlen</w:t>
      </w:r>
    </w:p>
    <w:p>
      <w:r>
        <w:t>An der Besprechung nehmen Thorsten und Anja Altfeld, Dr. Frank Rohrhuber, Stefanie Pollok sowie auf Unternehmensseite Helena Kopp, Lea Huth und Controllerin Kathrin Lechner teil. Der Entwurf trägt das interne Aktenzeichen RH-26-1847-HV und darf vor Freigabe nicht versandt werden.</w:t>
      </w:r>
    </w:p>
    <w:p>
      <w:r>
        <w:t>Die Parteien verwenden als vorläufige Arbeitswerte 17640 EUR Differenz für 2025, drei offene Vorgänge mit 302000 EUR Nettoauftragswert und eine bislang nicht geschäftsbezogen erläuterte Stornoreserve. Kein Betrag gilt ohne Buchauszug, Kundenkohorte und Ausführungsdaten als anerkannt.</w:t>
      </w:r>
    </w:p>
    <w:p>
      <w:pPr>
        <w:pStyle w:val="Heading2"/>
      </w:pPr>
      <w:r>
        <w:t>Zu regelnde Punkte</w:t>
      </w:r>
    </w:p>
    <w:p>
      <w:r>
        <w:t>Ein Vergleich muss Buchauszug und Datenformat, Nachberechnung einzelner Provisionen, Behandlung der Reserve, Ausgleichsanspruch, Wettbewerbsabrede, Kundenkommunikation, Rückgabe von Unterlagen, Kosten und Erledigungsklausel getrennt regeln. Für jede Zahlung sind Fälligkeit, Umsatzsteuerbehandlung, Verzug und Kontoverbindung zu bestimmen.</w:t>
      </w:r>
    </w:p>
    <w:p>
      <w:r>
        <w:t>Der Entwurf enthält drei offene Varianten: sofortige Teilzahlung mit späterer Schlussabrechnung, vollständige Datenauskunft mit anschließender Mediation oder abschließende Pauschalzahlung. Die Geschäftsführung der Altfeld Vertrieb GmbH hat für keine Variante bislang eine Untergrenze freigegeben.</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