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Offene Punkte und Lückenliste</w:t>
      </w:r>
    </w:p>
    <w:p>
      <w:pPr>
        <w:pStyle w:val="Heading2"/>
      </w:pPr>
      <w:r>
        <w:rPr>
          <w:rFonts w:ascii="Times New Roman" w:hAnsi="Times New Roman"/>
        </w:rPr>
        <w:t>Status</w:t>
      </w:r>
    </w:p>
    <w:p>
      <w:pPr>
        <w:jc w:val="left"/>
      </w:pPr>
      <w:r>
        <w:t>Stand: 05.06.2026. Liste wird wöchentlich aktualisiert. Verantwortlich: Stefanie Pollok (Senior Associate). Eskalation: Dr. Frank Rohrhuber (Partner).</w:t>
      </w:r>
    </w:p>
    <w:p>
      <w:pPr>
        <w:pStyle w:val="Heading2"/>
      </w:pPr>
      <w:r>
        <w:rPr>
          <w:rFonts w:ascii="Times New Roman" w:hAnsi="Times New Roman"/>
        </w:rPr>
        <w:t>Offene Punkte (substanziell)</w:t>
      </w:r>
    </w:p>
    <w:p>
      <w:pPr>
        <w:pStyle w:val="Heading3"/>
      </w:pPr>
      <w:r>
        <w:t>1. Rechtsquellenprüfung</w:t>
      </w:r>
    </w:p>
    <w:p>
      <w:pPr>
        <w:pStyle w:val="ListBullet"/>
      </w:pPr>
      <w:r>
        <w:t>HGB Paragrafen  84-92c in der seit 2022 geltenden Fassung gegen gesetze-im-internet.de verifizieren. Die in der Vorstandsvorlage zitierte Fassung des Paragraf  89b HGB scheint älter als 2023; das ist materiell unproblematisch, weil die Norm in der Sache unverändert ist, aber unsere Argumentation muss die korrekte Fassung zitieren.</w:t>
      </w:r>
    </w:p>
    <w:p>
      <w:pPr>
        <w:pStyle w:val="ListBullet"/>
      </w:pPr>
      <w:r>
        <w:t>BGH-Rechtsprechung zum Marken- und Bezirksvertreter: relevant ist insbesondere die Linie zur Unternehmensvorteil-Vermutung beim Online-Vertrieb. Az im Mandat an aktueller amtlicher Quelle prüfen, nicht aus Erinnerung oder älteren Schriftsätzen übernehmen.</w:t>
      </w:r>
    </w:p>
    <w:p>
      <w:pPr>
        <w:pStyle w:val="ListBullet"/>
      </w:pPr>
      <w:r>
        <w:t>EuGH zur Handelsvertreterrichtlinie 86/653/EWG: prüfen, ob es 2024/2025 neue Entscheidungen zur Berechnung der Ausgleichszahlung gibt, die unsere Beweisstrategie beeinflussen.</w:t>
      </w:r>
    </w:p>
    <w:p>
      <w:pPr>
        <w:pStyle w:val="Heading3"/>
      </w:pPr>
      <w:r>
        <w:rPr>
          <w:rFonts w:ascii="Times New Roman" w:hAnsi="Times New Roman"/>
        </w:rPr>
        <w:t>2. Fehlende technische und kaufmännische Nachweise</w:t>
      </w:r>
    </w:p>
    <w:p>
      <w:pPr>
        <w:pStyle w:val="ListBullet"/>
      </w:pPr>
      <w:r>
        <w:t>Online-Shop-Umsatz nach Postleitzahlen: Wir haben einen ungefilterten CRM-Export (Aktenstück 15). Wir brauchen eine geordnete Pivot-Tabelle nach Postleitzahl-Gebiet (Vertragsgebiet Nordrhein-Westfalen und Hessen vs. übrige) für die Jahre 2023 bis 2026. Verantwortlich: Frau Reiseck, IT-Forensik.</w:t>
      </w:r>
    </w:p>
    <w:p>
      <w:pPr>
        <w:pStyle w:val="ListBullet"/>
      </w:pPr>
      <w:r>
        <w:t>Stornoreserve-Berechnungsmethode: Nordstern Controlling hat per E-Mail die Berechnungsformel pauschal mit "20 % der als auszahlbar markierten Provision" angegeben. Wir brauchen die exakte Quellenformel (Rechnungswesen-Anweisung, Bilanzrichtlinie, IDW-Standard?). Bisher nur Behauptung, keine Norm- oder Vertragsbelege.</w:t>
      </w:r>
    </w:p>
    <w:p>
      <w:pPr>
        <w:pStyle w:val="ListBullet"/>
      </w:pPr>
      <w:r>
        <w:rPr>
          <w:b/>
        </w:rPr>
        <w:t>Schulungsmaterial zu Preisen und Rabatten:</w:t>
      </w:r>
      <w:r>
        <w:t xml:space="preserve"> angefordert per E-Mail vom 12.05.2026 (Aktenstück 08), bislang keine Reaktion. Bei weiterem Schweigen erinnern, dann förmlich anmahnen.</w:t>
      </w:r>
    </w:p>
    <w:p>
      <w:pPr>
        <w:pStyle w:val="ListBullet"/>
      </w:pPr>
      <w:r>
        <w:t>Klinikum Westbogen — Rahmenvertragsabrufe: Wir haben die Original-Rahmenverträge nicht. Diese sind aber für den Paragraf  89b-Anspruch der entscheidende Beweis der Neukunden-Bindung. Anfrage an Frau Brüggemann (Key Account) über die Klinik-Verwaltung initiieren.</w:t>
      </w:r>
    </w:p>
    <w:p>
      <w:pPr>
        <w:pStyle w:val="Heading3"/>
      </w:pPr>
      <w:r>
        <w:rPr>
          <w:rFonts w:ascii="Times New Roman" w:hAnsi="Times New Roman"/>
        </w:rPr>
        <w:t>3. Widersprüche zwischen Aktenstücken</w:t>
      </w:r>
    </w:p>
    <w:p>
      <w:pPr>
        <w:pStyle w:val="ListBullet"/>
      </w:pPr>
      <w:r>
        <w:t>Provisionssatz Klinikum Westbogen: Im Handelsvertretervertrag Paragraf  7 Abs. 2 lautet die Provisionsformel "7 % des Nettoauftragswerts; 5 % für Produktgruppe N-Motion". In der Provisionsabrechnung 2024 (Aktenstück 05) ist dagegen ein abweichender Satz ausgewiesen. Differenz von ca. 28.000 EUR über zwei Jahre. Erklärung Nordstern: "verhandelter Sonderrabatt für Großkunden". Verträge dazu fehlen. Bitte mit Buchauszug erzwingen.</w:t>
      </w:r>
    </w:p>
    <w:p>
      <w:pPr>
        <w:pStyle w:val="ListBullet"/>
      </w:pPr>
      <w:r>
        <w:rPr>
          <w:b/>
        </w:rPr>
        <w:t>WhatsApp-Verlauf vs. E-Mail:</w:t>
      </w:r>
      <w:r>
        <w:t xml:space="preserve"> Im WhatsApp-Verlauf vom 12.11.2024 (Aktenstück 11) bestätigt der Geschäftsführer Vertrieb die Bezirksabgrenzung "wie bisher", in der E-Mail vom 14.11.2024 (Aktenstück 07) schreibt er aber von einer "geplanten Anpassung der Vertriebsstruktur". Welche Aussage gilt? Wir lesen sie als nicht widersprüchlich (Bestätigung vor Online-Umstellung), aber das ist im Schriftsatz aufzulösen.</w:t>
      </w:r>
    </w:p>
    <w:p>
      <w:pPr>
        <w:pStyle w:val="ListBullet"/>
      </w:pPr>
      <w:r>
        <w:rPr>
          <w:b/>
        </w:rPr>
        <w:t>Stornoaufstellung 2025 vs. Provisionsabrechnung 2025:</w:t>
      </w:r>
      <w:r>
        <w:t xml:space="preserve"> Storno-Anteil in der Aufstellung (Aktenstück 17) ist 14,3 %, in der Provisionsabrechnung wird er aber mit 17,8 % berücksichtigt. Differenz bedeutet weitere Provisionsforderung — ca. 11.500 EUR. Konkrete Fundstelle in Buchauszug zu suchen.</w:t>
      </w:r>
    </w:p>
    <w:p>
      <w:pPr>
        <w:pStyle w:val="Heading3"/>
      </w:pPr>
      <w:r>
        <w:rPr>
          <w:rFonts w:ascii="Times New Roman" w:hAnsi="Times New Roman"/>
        </w:rPr>
        <w:t>4. Beweisfundstellen für harte Aussagen</w:t>
      </w:r>
    </w:p>
    <w:p>
      <w:pPr>
        <w:pStyle w:val="ListBullet"/>
      </w:pPr>
      <w:r>
        <w:t>Behauptung "Wirtschaftlicher Druck als Kündigungsmotiv" — derzeit nur indirekt aus Vorstandsvorlage (Aktenstück 20) ableitbar. Bessere Belege: Quartalsberichte 2024/2025, Pressemitteilungen zur Online-Vertriebsumstellung, interne Strategie-Memos.</w:t>
      </w:r>
    </w:p>
    <w:p>
      <w:pPr>
        <w:pStyle w:val="ListBullet"/>
      </w:pPr>
      <w:r>
        <w:t>Behauptung "Verlust Klinikum Westbogen wäre für Nordstern materiell" — derzeit nur Vermutung. Bessere Belege: Bezirksumsatz 2018-2025, Marktanteil Klinikum, Konkurrenten-Analyse.</w:t>
      </w:r>
    </w:p>
    <w:p>
      <w:pPr>
        <w:pStyle w:val="ListBullet"/>
      </w:pPr>
      <w:r>
        <w:t>Behauptung "Vertreter hat eigenen Kundenstamm aufgebaut" — derzeit nur CRM-Leads-Liste mit Erstkontaktdatum (Aktenstück 12). Bessere Belege: Quellschriftverkehr (Erstangebote, Vertriebspräsentationen), Empfehlungen Klinikleitungen.</w:t>
      </w:r>
    </w:p>
    <w:p>
      <w:pPr>
        <w:pStyle w:val="Heading2"/>
      </w:pPr>
      <w:r>
        <w:rPr>
          <w:rFonts w:ascii="Times New Roman" w:hAnsi="Times New Roman"/>
        </w:rPr>
        <w:t>Lückenliste (Dokumente)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Lücke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Beweisthema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Beschaffungsweg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512"/>
          </w:tcPr>
          <w:p>
            <w:r>
              <w:t>E-Mail-Header und Zugang Kündigung 22.05.2026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Zugang</w:t>
            </w:r>
          </w:p>
        </w:tc>
        <w:tc>
          <w:tcPr>
            <w:tcW w:type="dxa" w:w="1512"/>
          </w:tcPr>
          <w:p>
            <w:r>
              <w:t>Mandantin / E-Mail-Archiv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14 Tage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Vertreter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Buchauszug 2023-2025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Provisionen, Stornoreserve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gerichtlich erzwingen (Stufenklage)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im Klageschriftsatz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beantragt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Rahmenverträge Klinikum Westbogen</w:t>
            </w:r>
          </w:p>
        </w:tc>
        <w:tc>
          <w:tcPr>
            <w:tcW w:type="dxa" w:w="1512"/>
          </w:tcPr>
          <w:p>
            <w:r>
              <w:t>Neukundenbindung Paragraf  89b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über Klinik-Verwaltung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 Wochen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Frau Brüggemann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initialisiert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Vorstandsvorlage Vertriebsumstellung Volltext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Kündigungsmotiv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gerichtlich erzwingen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im Klageschriftsatz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Schulungsmaterial Preise/Rabatte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Provisionsberechnung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außergerichtlich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 Wochen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Nordstern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erinnert</w:t>
            </w:r>
          </w:p>
        </w:tc>
      </w:tr>
      <w:tr>
        <w:tc>
          <w:tcPr>
            <w:tcW w:type="dxa" w:w="1512"/>
          </w:tcPr>
          <w:p>
            <w:r>
              <w:t>Wettbewerbsabrede Paragraf  90a Konkretisierung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Karenzentschädigung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aus Vertrag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sofort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Stefanie Pollok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gemacht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CRM-Pivot nach PLZ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Bezirksumsatz Online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IT-Forensik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 Woche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Frau Reiseck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beauftragt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Stornogründe Einzelaufstellung 2024-2026</w:t>
            </w:r>
          </w:p>
        </w:tc>
        <w:tc>
          <w:tcPr>
            <w:tcW w:type="dxa" w:w="1512"/>
          </w:tcPr>
          <w:p>
            <w:r>
              <w:t>Paragraf  87a Abs. 3 HGB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aus Buchauszug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im Klageverfahren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Kanzlei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Provisionsverlustprognose</w:t>
            </w:r>
          </w:p>
        </w:tc>
        <w:tc>
          <w:tcPr>
            <w:tcW w:type="dxa" w:w="1512"/>
          </w:tcPr>
          <w:p>
            <w:r>
              <w:t>Paragraf  89b Berechnung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externer WP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 Wochen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Dr. Rohrhuber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beauftragt</w:t>
            </w:r>
          </w:p>
        </w:tc>
      </w:tr>
      <w:tr>
        <w:tc>
          <w:tcPr>
            <w:tcW w:type="dxa" w:w="1512"/>
          </w:tcPr>
          <w:p>
            <w:r>
              <w:t>Handelsregister- und Umfirmierungsunterlagen</w:t>
            </w:r>
          </w:p>
        </w:tc>
        <w:tc>
          <w:tcPr>
            <w:tcW w:type="dxa" w:w="1512"/>
          </w:tcPr>
          <w:p>
            <w:r>
              <w:t>Identität der Vertragspartnerin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Mandant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n/a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Vertreter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nicht relevant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Grundregel für die Aktenbearbeitung</w:t>
      </w:r>
    </w:p>
    <w:p>
      <w:pPr>
        <w:pStyle w:val="ListBullet"/>
      </w:pPr>
      <w:r>
        <w:t>Originalquellen und aktuelle Gesetzesfassungen an aktueller amtlicher Quelle prüfen, nicht aus dem Schriftsatz älterer Akten übernehmen.</w:t>
      </w:r>
    </w:p>
    <w:p>
      <w:pPr>
        <w:pStyle w:val="ListBullet"/>
      </w:pPr>
      <w:r>
        <w:t>Fehlende technische oder kaufmännische Nachweise nicht durch Vermutungen ersetzen — lieber im Schriftsatz explizit als "noch zu klären" markieren und um Schriftsatzfrist bitten.</w:t>
      </w:r>
    </w:p>
    <w:p>
      <w:pPr>
        <w:pStyle w:val="ListBullet"/>
      </w:pPr>
      <w:r>
        <w:t>Widersprüche zwischen E-Mail, Tabelle und Vertrag explizit benennen — die Gegenseite wird sie sonst gegen uns ausspielen.</w:t>
      </w:r>
    </w:p>
    <w:p>
      <w:pPr>
        <w:pStyle w:val="ListBullet"/>
      </w:pPr>
      <w:r>
        <w:t xml:space="preserve">Für jede harte Aussage im Schriftsatz </w:t>
      </w:r>
      <w:r>
        <w:rPr>
          <w:b/>
        </w:rPr>
        <w:t>eine Aktenfundstelle</w:t>
      </w:r>
      <w:r>
        <w:t xml:space="preserve"> zitieren (Aktenstück Nummer, Seite, Absatz). Andernfalls Vermerk "noch zu belegen" und Beschaffungsmaßnahme.</w:t>
      </w:r>
    </w:p>
    <w:p>
      <w:pPr>
        <w:pStyle w:val="Heading2"/>
      </w:pPr>
      <w:r>
        <w:rPr>
          <w:rFonts w:ascii="Times New Roman" w:hAnsi="Times New Roman"/>
        </w:rPr>
        <w:t>Nächste Aktualisierung</w:t>
      </w:r>
    </w:p>
    <w:p>
      <w:pPr>
        <w:jc w:val="left"/>
      </w:pPr>
      <w:r>
        <w:t>Donnerstag, 11.06.2026, 17:00 Uhr — vor dem Mandantengespräch am Freitag.</w:t>
      </w:r>
    </w:p>
    <w:p>
      <w:pPr>
        <w:pStyle w:val="Heading1"/>
      </w:pPr>
      <w:r>
        <w:t>Abgleich mit der Mandatsaufnahme</w:t>
      </w:r>
    </w:p>
    <w:p>
      <w:pPr>
        <w:pStyle w:val="Heading2"/>
      </w:pPr>
      <w:r>
        <w:t>Verbindliche Ausgangsdaten</w:t>
      </w:r>
    </w:p>
    <w:p>
      <w:r>
        <w:t>Die Lückenliste wird auf den Stand 5. Juni 2026 gebracht. Vertragspartnerin ist die Altfeld Vertrieb GmbH, Vertragsbeginn der 3. Juni 2018 und Vertragsgebiet Nordrhein-Westfalen und Hessen. Maßgeblicher Kündigungseingang ist zunächst die E-Mail vom 22. Mai 2026 um 12:15 Uhr; zusätzliche Zustellwege bleiben zu prüfen.</w:t>
      </w:r>
    </w:p>
    <w:p>
      <w:r>
        <w:t>Die Stornoreserve wird in den vorliegenden Unterlagen mit zwanzig Prozent bezeichnet. Der Vertrag nennt sieben Prozent Grundprovision und fünf Prozent für Produktgruppe N-Motion. Abweichende Werte bleiben nur erhalten, wenn das jeweilige Aktenstück und der betroffene Zeitraum eindeutig genannt sind.</w:t>
      </w:r>
    </w:p>
    <w:p>
      <w:pPr>
        <w:pStyle w:val="Heading2"/>
      </w:pPr>
      <w:r>
        <w:t>Nächste Aktualisierung</w:t>
      </w:r>
    </w:p>
    <w:p>
      <w:r>
        <w:t>Das Referat aktualisiert die Liste am 11. Juni 2026 um 17:00 Uhr. Thorsten und Anja Altfeld erhalten vorab nur die offenen Beschaffungsaufträge; rechtliche Wertungen und vorläufige Rechenstände werden nicht als feststehendes Ergebnis ausgegeben.</w:t>
      </w:r>
    </w:p>
    <w:sectPr w:rsidR="00FC693F" w:rsidRPr="0006063C" w:rsidSect="00034616">
      <w:pgSz w:w="11906" w:h="16838"/>
      <w:pgMar w:top="1247" w:right="1134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