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6520"/>
        <w:gridCol w:w="2948"/>
      </w:tblGrid>
      <w:tr>
        <w:tc>
          <w:tcPr>
            <w:tcW w:type="dxa" w:w="4790"/>
            <w:tcMar>
              <w:top w:w="0" w:type="dxa"/>
              <w:start w:w="0" w:type="dxa"/>
              <w:bottom w:w="80" w:type="dxa"/>
              <w:end w:w="80" w:type="dxa"/>
            </w:tcMar>
          </w:tcPr>
          <w:p>
            <w:pPr>
              <w:spacing w:after="20"/>
            </w:pPr>
            <w:r>
              <w:rPr>
                <w:b/>
                <w:color w:val="17324D"/>
                <w:sz w:val="24"/>
              </w:rPr>
              <w:t>NORDSTERN MEDTECH GMBH</w:t>
            </w:r>
          </w:p>
          <w:p>
            <w:pPr>
              <w:spacing w:after="0"/>
            </w:pPr>
            <w:r>
              <w:rPr>
                <w:color w:val="59636B"/>
                <w:sz w:val="16"/>
              </w:rPr>
              <w:t>Ruhrallee 188 · 45136 Essen · Telefon 0201 447 28 0 · legal@nordstern-medtech.de</w:t>
            </w:r>
          </w:p>
          <w:p>
            <w:pPr>
              <w:spacing w:after="0"/>
            </w:pPr>
            <w:r>
              <w:rPr>
                <w:color w:val="59636B"/>
                <w:sz w:val="16"/>
              </w:rPr>
              <w:t>Geschäftsführung Dr. Malte Ferber und Helena Kopp · HRB 284991, Amtsgericht Essen</w:t>
            </w:r>
          </w:p>
        </w:tc>
        <w:tc>
          <w:tcPr>
            <w:tcW w:type="dxa" w:w="4790"/>
            <w:tcMar>
              <w:top w:w="0" w:type="dxa"/>
              <w:start w:w="80" w:type="dxa"/>
              <w:bottom w:w="80" w:type="dxa"/>
              <w:end w:w="0" w:type="dxa"/>
            </w:tcMar>
          </w:tcPr>
          <w:p>
            <w:pPr>
              <w:jc w:val="right"/>
            </w:pPr>
            <w:r>
              <w:rPr>
                <w:b/>
                <w:color w:val="2E668B"/>
                <w:sz w:val="18"/>
              </w:rPr>
              <w:t>VERTRAULICH · GESCHÄFTSFÜHRUNG</w:t>
            </w:r>
          </w:p>
        </w:tc>
      </w:tr>
    </w:tbl>
    <w:p>
      <w:pPr>
        <w:spacing w:after="160"/>
        <w:pBdr>
          <w:bottom w:val="single" w:sz="10" w:space="1" w:color="2E668B"/>
        </w:pBdr>
      </w:pPr>
    </w:p>
    <w:p>
      <w:pPr>
        <w:pStyle w:val="Title"/>
      </w:pPr>
      <w:r>
        <w:t>Entscheidungsbedarf Vertriebspartner Altfeld</w:t>
      </w:r>
    </w:p>
    <w:p>
      <w:pPr>
        <w:spacing w:after="180"/>
      </w:pPr>
      <w:r>
        <w:rPr>
          <w:b/>
          <w:color w:val="2E668B"/>
        </w:rPr>
        <w:t>Unterlage für die Geschäftsführungssitzung am 12. Juni 2026</w:t>
      </w:r>
    </w:p>
    <w:tbl>
      <w:tblPr>
        <w:tblW w:type="auto" w:w="0"/>
        <w:tblLayout w:type="fixed"/>
        <w:tblLook w:firstColumn="1" w:firstRow="1" w:lastColumn="0" w:lastRow="0" w:noHBand="0" w:noVBand="1" w:val="04A0"/>
      </w:tblPr>
      <w:tblGrid>
        <w:gridCol w:w="2268"/>
        <w:gridCol w:w="7200"/>
      </w:tblGrid>
      <w:tr>
        <w:tc>
          <w:tcPr>
            <w:tcW w:type="dxa" w:w="2268"/>
            <w:shd w:fill="EAF1F5"/>
            <w:tcMar>
              <w:top w:w="90" w:type="dxa"/>
              <w:start w:w="90" w:type="dxa"/>
              <w:bottom w:w="90" w:type="dxa"/>
              <w:end w:w="90" w:type="dxa"/>
            </w:tcMar>
            <w:vAlign w:val="center"/>
          </w:tcPr>
          <w:p>
            <w:pPr>
              <w:spacing w:after="0"/>
            </w:pPr>
            <w:r>
              <w:rPr>
                <w:b/>
                <w:sz w:val="18"/>
              </w:rPr>
              <w:t>Erstellt</w:t>
            </w:r>
          </w:p>
        </w:tc>
        <w:tc>
          <w:tcPr>
            <w:tcW w:type="dxa" w:w="7200"/>
            <w:tcMar>
              <w:top w:w="90" w:type="dxa"/>
              <w:start w:w="90" w:type="dxa"/>
              <w:bottom w:w="90" w:type="dxa"/>
              <w:end w:w="90" w:type="dxa"/>
            </w:tcMar>
            <w:vAlign w:val="center"/>
          </w:tcPr>
          <w:p>
            <w:pPr>
              <w:spacing w:after="0"/>
            </w:pPr>
            <w:r>
              <w:rPr>
                <w:sz w:val="18"/>
              </w:rPr>
              <w:t>5. Juni 2026, 18:10 Uhr</w:t>
            </w:r>
          </w:p>
        </w:tc>
      </w:tr>
      <w:tr>
        <w:tc>
          <w:tcPr>
            <w:tcW w:type="dxa" w:w="2268"/>
            <w:shd w:fill="EAF1F5"/>
            <w:tcMar>
              <w:top w:w="90" w:type="dxa"/>
              <w:start w:w="90" w:type="dxa"/>
              <w:bottom w:w="90" w:type="dxa"/>
              <w:end w:w="90" w:type="dxa"/>
            </w:tcMar>
            <w:vAlign w:val="center"/>
          </w:tcPr>
          <w:p>
            <w:pPr>
              <w:spacing w:after="0"/>
            </w:pPr>
            <w:r>
              <w:rPr>
                <w:b/>
                <w:sz w:val="18"/>
              </w:rPr>
              <w:t>Verfasserin</w:t>
            </w:r>
          </w:p>
        </w:tc>
        <w:tc>
          <w:tcPr>
            <w:tcW w:type="dxa" w:w="7200"/>
            <w:tcMar>
              <w:top w:w="90" w:type="dxa"/>
              <w:start w:w="90" w:type="dxa"/>
              <w:bottom w:w="90" w:type="dxa"/>
              <w:end w:w="90" w:type="dxa"/>
            </w:tcMar>
            <w:vAlign w:val="center"/>
          </w:tcPr>
          <w:p>
            <w:pPr>
              <w:spacing w:after="0"/>
            </w:pPr>
            <w:r>
              <w:rPr>
                <w:sz w:val="18"/>
              </w:rPr>
              <w:t>Lea Huth, Leitung Legal Operations</w:t>
            </w:r>
          </w:p>
        </w:tc>
      </w:tr>
      <w:tr>
        <w:tc>
          <w:tcPr>
            <w:tcW w:type="dxa" w:w="2268"/>
            <w:shd w:fill="EAF1F5"/>
            <w:tcMar>
              <w:top w:w="90" w:type="dxa"/>
              <w:start w:w="90" w:type="dxa"/>
              <w:bottom w:w="90" w:type="dxa"/>
              <w:end w:w="90" w:type="dxa"/>
            </w:tcMar>
            <w:vAlign w:val="center"/>
          </w:tcPr>
          <w:p>
            <w:pPr>
              <w:spacing w:after="0"/>
            </w:pPr>
            <w:r>
              <w:rPr>
                <w:b/>
                <w:sz w:val="18"/>
              </w:rPr>
              <w:t>Teilnehmer</w:t>
            </w:r>
          </w:p>
        </w:tc>
        <w:tc>
          <w:tcPr>
            <w:tcW w:type="dxa" w:w="7200"/>
            <w:tcMar>
              <w:top w:w="90" w:type="dxa"/>
              <w:start w:w="90" w:type="dxa"/>
              <w:bottom w:w="90" w:type="dxa"/>
              <w:end w:w="90" w:type="dxa"/>
            </w:tcMar>
            <w:vAlign w:val="center"/>
          </w:tcPr>
          <w:p>
            <w:pPr>
              <w:spacing w:after="0"/>
            </w:pPr>
            <w:r>
              <w:rPr>
                <w:sz w:val="18"/>
              </w:rPr>
              <w:t>Geschäftsführung, Vertrieb, Controlling, Legal, IT</w:t>
            </w:r>
          </w:p>
        </w:tc>
      </w:tr>
      <w:tr>
        <w:tc>
          <w:tcPr>
            <w:tcW w:type="dxa" w:w="2268"/>
            <w:shd w:fill="EAF1F5"/>
            <w:tcMar>
              <w:top w:w="90" w:type="dxa"/>
              <w:start w:w="90" w:type="dxa"/>
              <w:bottom w:w="90" w:type="dxa"/>
              <w:end w:w="90" w:type="dxa"/>
            </w:tcMar>
            <w:vAlign w:val="center"/>
          </w:tcPr>
          <w:p>
            <w:pPr>
              <w:spacing w:after="0"/>
            </w:pPr>
            <w:r>
              <w:rPr>
                <w:b/>
                <w:sz w:val="18"/>
              </w:rPr>
              <w:t>Gegenstand</w:t>
            </w:r>
          </w:p>
        </w:tc>
        <w:tc>
          <w:tcPr>
            <w:tcW w:type="dxa" w:w="7200"/>
            <w:tcMar>
              <w:top w:w="90" w:type="dxa"/>
              <w:start w:w="90" w:type="dxa"/>
              <w:bottom w:w="90" w:type="dxa"/>
              <w:end w:w="90" w:type="dxa"/>
            </w:tcMar>
            <w:vAlign w:val="center"/>
          </w:tcPr>
          <w:p>
            <w:pPr>
              <w:spacing w:after="0"/>
            </w:pPr>
            <w:r>
              <w:rPr>
                <w:sz w:val="18"/>
              </w:rPr>
              <w:t>Kündigung, Abrechnung, CRM-Auszug und Fortführung des Onlinevertriebs</w:t>
            </w:r>
          </w:p>
        </w:tc>
      </w:tr>
    </w:tbl>
    <w:p>
      <w:pPr>
        <w:spacing w:after="20"/>
      </w:pPr>
    </w:p>
    <w:p>
      <w:pPr>
        <w:pStyle w:val="Heading1"/>
      </w:pPr>
      <w:r>
        <w:t>1. Beschlussbedarf</w:t>
      </w:r>
    </w:p>
    <w:tbl>
      <w:tblPr>
        <w:tblStyle w:val="TableGrid"/>
        <w:tblW w:type="auto" w:w="0"/>
        <w:tblLayout w:type="fixed"/>
        <w:tblLook w:firstColumn="1" w:firstRow="1" w:lastColumn="0" w:lastRow="0" w:noHBand="0" w:noVBand="1" w:val="04A0"/>
      </w:tblPr>
      <w:tblGrid>
        <w:gridCol w:w="567"/>
        <w:gridCol w:w="2665"/>
        <w:gridCol w:w="3288"/>
        <w:gridCol w:w="2948"/>
      </w:tblGrid>
      <w:tr>
        <w:tc>
          <w:tcPr>
            <w:tcW w:type="dxa" w:w="2395"/>
            <w:shd w:fill="17324D"/>
            <w:tcMar>
              <w:top w:w="90" w:type="dxa"/>
              <w:start w:w="90" w:type="dxa"/>
              <w:bottom w:w="90" w:type="dxa"/>
              <w:end w:w="90" w:type="dxa"/>
            </w:tcMar>
          </w:tcPr>
          <w:p>
            <w:r>
              <w:rPr>
                <w:b/>
                <w:color w:val="FFFFFF"/>
                <w:sz w:val="17"/>
              </w:rPr>
              <w:t>Nr.</w:t>
            </w:r>
          </w:p>
        </w:tc>
        <w:tc>
          <w:tcPr>
            <w:tcW w:type="dxa" w:w="2395"/>
            <w:shd w:fill="17324D"/>
            <w:tcMar>
              <w:top w:w="90" w:type="dxa"/>
              <w:start w:w="90" w:type="dxa"/>
              <w:bottom w:w="90" w:type="dxa"/>
              <w:end w:w="90" w:type="dxa"/>
            </w:tcMar>
          </w:tcPr>
          <w:p>
            <w:r>
              <w:rPr>
                <w:b/>
                <w:color w:val="FFFFFF"/>
                <w:sz w:val="17"/>
              </w:rPr>
              <w:t>Entscheidung</w:t>
            </w:r>
          </w:p>
        </w:tc>
        <w:tc>
          <w:tcPr>
            <w:tcW w:type="dxa" w:w="2395"/>
            <w:shd w:fill="17324D"/>
            <w:tcMar>
              <w:top w:w="90" w:type="dxa"/>
              <w:start w:w="90" w:type="dxa"/>
              <w:bottom w:w="90" w:type="dxa"/>
              <w:end w:w="90" w:type="dxa"/>
            </w:tcMar>
          </w:tcPr>
          <w:p>
            <w:r>
              <w:rPr>
                <w:b/>
                <w:color w:val="FFFFFF"/>
                <w:sz w:val="17"/>
              </w:rPr>
              <w:t>Vorliegende Grundlage</w:t>
            </w:r>
          </w:p>
        </w:tc>
        <w:tc>
          <w:tcPr>
            <w:tcW w:type="dxa" w:w="2395"/>
            <w:shd w:fill="17324D"/>
            <w:tcMar>
              <w:top w:w="90" w:type="dxa"/>
              <w:start w:w="90" w:type="dxa"/>
              <w:bottom w:w="90" w:type="dxa"/>
              <w:end w:w="90" w:type="dxa"/>
            </w:tcMar>
          </w:tcPr>
          <w:p>
            <w:r>
              <w:rPr>
                <w:b/>
                <w:color w:val="FFFFFF"/>
                <w:sz w:val="17"/>
              </w:rPr>
              <w:t>Fehlende Grundlage</w:t>
            </w:r>
          </w:p>
        </w:tc>
      </w:tr>
      <w:tr>
        <w:tc>
          <w:tcPr>
            <w:tcW w:type="dxa" w:w="567"/>
            <w:tcMar>
              <w:top w:w="90" w:type="dxa"/>
              <w:start w:w="90" w:type="dxa"/>
              <w:bottom w:w="90" w:type="dxa"/>
              <w:end w:w="90" w:type="dxa"/>
            </w:tcMar>
            <w:vAlign w:val="top"/>
          </w:tcPr>
          <w:p>
            <w:pPr>
              <w:spacing w:after="0"/>
            </w:pPr>
            <w:r>
              <w:rPr>
                <w:sz w:val="16"/>
              </w:rPr>
              <w:t>1</w:t>
            </w:r>
          </w:p>
        </w:tc>
        <w:tc>
          <w:tcPr>
            <w:tcW w:type="dxa" w:w="2665"/>
            <w:tcMar>
              <w:top w:w="90" w:type="dxa"/>
              <w:start w:w="90" w:type="dxa"/>
              <w:bottom w:w="90" w:type="dxa"/>
              <w:end w:w="90" w:type="dxa"/>
            </w:tcMar>
            <w:vAlign w:val="top"/>
          </w:tcPr>
          <w:p>
            <w:pPr>
              <w:spacing w:after="0"/>
            </w:pPr>
            <w:r>
              <w:rPr>
                <w:sz w:val="16"/>
              </w:rPr>
              <w:t>Umfang und Termin eines Buchauszugs</w:t>
            </w:r>
          </w:p>
        </w:tc>
        <w:tc>
          <w:tcPr>
            <w:tcW w:type="dxa" w:w="3288"/>
            <w:tcMar>
              <w:top w:w="90" w:type="dxa"/>
              <w:start w:w="90" w:type="dxa"/>
              <w:bottom w:w="90" w:type="dxa"/>
              <w:end w:w="90" w:type="dxa"/>
            </w:tcMar>
            <w:vAlign w:val="top"/>
          </w:tcPr>
          <w:p>
            <w:pPr>
              <w:spacing w:after="0"/>
            </w:pPr>
            <w:r>
              <w:rPr>
                <w:sz w:val="16"/>
              </w:rPr>
              <w:t>Verlangen vom 25. Mai; drei Beispielvorgänge</w:t>
            </w:r>
          </w:p>
        </w:tc>
        <w:tc>
          <w:tcPr>
            <w:tcW w:type="dxa" w:w="2948"/>
            <w:tcMar>
              <w:top w:w="90" w:type="dxa"/>
              <w:start w:w="90" w:type="dxa"/>
              <w:bottom w:w="90" w:type="dxa"/>
              <w:end w:w="90" w:type="dxa"/>
            </w:tcMar>
            <w:vAlign w:val="top"/>
          </w:tcPr>
          <w:p>
            <w:pPr>
              <w:spacing w:after="0"/>
            </w:pPr>
            <w:r>
              <w:rPr>
                <w:sz w:val="16"/>
              </w:rPr>
              <w:t>Vollständige PLZ-Zuordnung, Key-Account-Abrufe, Stornogründe</w:t>
            </w:r>
          </w:p>
        </w:tc>
      </w:tr>
      <w:tr>
        <w:tc>
          <w:tcPr>
            <w:tcW w:type="dxa" w:w="567"/>
            <w:tcMar>
              <w:top w:w="90" w:type="dxa"/>
              <w:start w:w="90" w:type="dxa"/>
              <w:bottom w:w="90" w:type="dxa"/>
              <w:end w:w="90" w:type="dxa"/>
            </w:tcMar>
            <w:vAlign w:val="top"/>
            <w:shd w:fill="F5F7F8"/>
          </w:tcPr>
          <w:p>
            <w:pPr>
              <w:spacing w:after="0"/>
            </w:pPr>
            <w:r>
              <w:rPr>
                <w:sz w:val="16"/>
              </w:rPr>
              <w:t>2</w:t>
            </w:r>
          </w:p>
        </w:tc>
        <w:tc>
          <w:tcPr>
            <w:tcW w:type="dxa" w:w="2665"/>
            <w:tcMar>
              <w:top w:w="90" w:type="dxa"/>
              <w:start w:w="90" w:type="dxa"/>
              <w:bottom w:w="90" w:type="dxa"/>
              <w:end w:w="90" w:type="dxa"/>
            </w:tcMar>
            <w:vAlign w:val="top"/>
            <w:shd w:fill="F5F7F8"/>
          </w:tcPr>
          <w:p>
            <w:pPr>
              <w:spacing w:after="0"/>
            </w:pPr>
            <w:r>
              <w:rPr>
                <w:sz w:val="16"/>
              </w:rPr>
              <w:t>Freigabe eines bereinigten CRM-Exports</w:t>
            </w:r>
          </w:p>
        </w:tc>
        <w:tc>
          <w:tcPr>
            <w:tcW w:type="dxa" w:w="3288"/>
            <w:tcMar>
              <w:top w:w="90" w:type="dxa"/>
              <w:start w:w="90" w:type="dxa"/>
              <w:bottom w:w="90" w:type="dxa"/>
              <w:end w:w="90" w:type="dxa"/>
            </w:tcMar>
            <w:vAlign w:val="top"/>
            <w:shd w:fill="F5F7F8"/>
          </w:tcPr>
          <w:p>
            <w:pPr>
              <w:spacing w:after="0"/>
            </w:pPr>
            <w:r>
              <w:rPr>
                <w:sz w:val="16"/>
              </w:rPr>
              <w:t>IT-Mail vom 26. Mai</w:t>
            </w:r>
          </w:p>
        </w:tc>
        <w:tc>
          <w:tcPr>
            <w:tcW w:type="dxa" w:w="2948"/>
            <w:tcMar>
              <w:top w:w="90" w:type="dxa"/>
              <w:start w:w="90" w:type="dxa"/>
              <w:bottom w:w="90" w:type="dxa"/>
              <w:end w:w="90" w:type="dxa"/>
            </w:tcMar>
            <w:vAlign w:val="top"/>
            <w:shd w:fill="F5F7F8"/>
          </w:tcPr>
          <w:p>
            <w:pPr>
              <w:spacing w:after="0"/>
            </w:pPr>
            <w:r>
              <w:rPr>
                <w:sz w:val="16"/>
              </w:rPr>
              <w:t>Liste privater Notizen, Lösch- und Schwärzkonzept, Exportprotokoll</w:t>
            </w:r>
          </w:p>
        </w:tc>
      </w:tr>
      <w:tr>
        <w:tc>
          <w:tcPr>
            <w:tcW w:type="dxa" w:w="567"/>
            <w:tcMar>
              <w:top w:w="90" w:type="dxa"/>
              <w:start w:w="90" w:type="dxa"/>
              <w:bottom w:w="90" w:type="dxa"/>
              <w:end w:w="90" w:type="dxa"/>
            </w:tcMar>
            <w:vAlign w:val="top"/>
          </w:tcPr>
          <w:p>
            <w:pPr>
              <w:spacing w:after="0"/>
            </w:pPr>
            <w:r>
              <w:rPr>
                <w:sz w:val="16"/>
              </w:rPr>
              <w:t>3</w:t>
            </w:r>
          </w:p>
        </w:tc>
        <w:tc>
          <w:tcPr>
            <w:tcW w:type="dxa" w:w="2665"/>
            <w:tcMar>
              <w:top w:w="90" w:type="dxa"/>
              <w:start w:w="90" w:type="dxa"/>
              <w:bottom w:w="90" w:type="dxa"/>
              <w:end w:w="90" w:type="dxa"/>
            </w:tcMar>
            <w:vAlign w:val="top"/>
          </w:tcPr>
          <w:p>
            <w:pPr>
              <w:spacing w:after="0"/>
            </w:pPr>
            <w:r>
              <w:rPr>
                <w:sz w:val="16"/>
              </w:rPr>
              <w:t>Umgang mit der Wettbewerbsabrede bis Vertragsende</w:t>
            </w:r>
          </w:p>
        </w:tc>
        <w:tc>
          <w:tcPr>
            <w:tcW w:type="dxa" w:w="3288"/>
            <w:tcMar>
              <w:top w:w="90" w:type="dxa"/>
              <w:start w:w="90" w:type="dxa"/>
              <w:bottom w:w="90" w:type="dxa"/>
              <w:end w:w="90" w:type="dxa"/>
            </w:tcMar>
            <w:vAlign w:val="top"/>
          </w:tcPr>
          <w:p>
            <w:pPr>
              <w:spacing w:after="0"/>
            </w:pPr>
            <w:r>
              <w:rPr>
                <w:sz w:val="16"/>
              </w:rPr>
              <w:t>Vertragsauszug</w:t>
            </w:r>
          </w:p>
        </w:tc>
        <w:tc>
          <w:tcPr>
            <w:tcW w:type="dxa" w:w="2948"/>
            <w:tcMar>
              <w:top w:w="90" w:type="dxa"/>
              <w:start w:w="90" w:type="dxa"/>
              <w:bottom w:w="90" w:type="dxa"/>
              <w:end w:w="90" w:type="dxa"/>
            </w:tcMar>
            <w:vAlign w:val="top"/>
          </w:tcPr>
          <w:p>
            <w:pPr>
              <w:spacing w:after="0"/>
            </w:pPr>
            <w:r>
              <w:rPr>
                <w:sz w:val="16"/>
              </w:rPr>
              <w:t>Vollständige Klausel, Nachträge, frühere Kommunikation</w:t>
            </w:r>
          </w:p>
        </w:tc>
      </w:tr>
      <w:tr>
        <w:tc>
          <w:tcPr>
            <w:tcW w:type="dxa" w:w="567"/>
            <w:tcMar>
              <w:top w:w="90" w:type="dxa"/>
              <w:start w:w="90" w:type="dxa"/>
              <w:bottom w:w="90" w:type="dxa"/>
              <w:end w:w="90" w:type="dxa"/>
            </w:tcMar>
            <w:vAlign w:val="top"/>
            <w:shd w:fill="F5F7F8"/>
          </w:tcPr>
          <w:p>
            <w:pPr>
              <w:spacing w:after="0"/>
            </w:pPr>
            <w:r>
              <w:rPr>
                <w:sz w:val="16"/>
              </w:rPr>
              <w:t>4</w:t>
            </w:r>
          </w:p>
        </w:tc>
        <w:tc>
          <w:tcPr>
            <w:tcW w:type="dxa" w:w="2665"/>
            <w:tcMar>
              <w:top w:w="90" w:type="dxa"/>
              <w:start w:w="90" w:type="dxa"/>
              <w:bottom w:w="90" w:type="dxa"/>
              <w:end w:w="90" w:type="dxa"/>
            </w:tcMar>
            <w:vAlign w:val="top"/>
            <w:shd w:fill="F5F7F8"/>
          </w:tcPr>
          <w:p>
            <w:pPr>
              <w:spacing w:after="0"/>
            </w:pPr>
            <w:r>
              <w:rPr>
                <w:sz w:val="16"/>
              </w:rPr>
              <w:t>Verhandlungsvollmacht für ein Sondierungsgespräch</w:t>
            </w:r>
          </w:p>
        </w:tc>
        <w:tc>
          <w:tcPr>
            <w:tcW w:type="dxa" w:w="3288"/>
            <w:tcMar>
              <w:top w:w="90" w:type="dxa"/>
              <w:start w:w="90" w:type="dxa"/>
              <w:bottom w:w="90" w:type="dxa"/>
              <w:end w:w="90" w:type="dxa"/>
            </w:tcMar>
            <w:vAlign w:val="top"/>
            <w:shd w:fill="F5F7F8"/>
          </w:tcPr>
          <w:p>
            <w:pPr>
              <w:spacing w:after="0"/>
            </w:pPr>
            <w:r>
              <w:rPr>
                <w:sz w:val="16"/>
              </w:rPr>
              <w:t>Controlling-Spanne 78000 bis 214000 EUR</w:t>
            </w:r>
          </w:p>
        </w:tc>
        <w:tc>
          <w:tcPr>
            <w:tcW w:type="dxa" w:w="2948"/>
            <w:tcMar>
              <w:top w:w="90" w:type="dxa"/>
              <w:start w:w="90" w:type="dxa"/>
              <w:bottom w:w="90" w:type="dxa"/>
              <w:end w:w="90" w:type="dxa"/>
            </w:tcMar>
            <w:vAlign w:val="top"/>
            <w:shd w:fill="F5F7F8"/>
          </w:tcPr>
          <w:p>
            <w:pPr>
              <w:spacing w:after="0"/>
            </w:pPr>
            <w:r>
              <w:rPr>
                <w:sz w:val="16"/>
              </w:rPr>
              <w:t>Rechenblatt mit Kundenkohorten und Fortführungsannahmen</w:t>
            </w:r>
          </w:p>
        </w:tc>
      </w:tr>
      <w:tr>
        <w:tc>
          <w:tcPr>
            <w:tcW w:type="dxa" w:w="567"/>
            <w:tcMar>
              <w:top w:w="90" w:type="dxa"/>
              <w:start w:w="90" w:type="dxa"/>
              <w:bottom w:w="90" w:type="dxa"/>
              <w:end w:w="90" w:type="dxa"/>
            </w:tcMar>
            <w:vAlign w:val="top"/>
          </w:tcPr>
          <w:p>
            <w:pPr>
              <w:spacing w:after="0"/>
            </w:pPr>
            <w:r>
              <w:rPr>
                <w:sz w:val="16"/>
              </w:rPr>
              <w:t>5</w:t>
            </w:r>
          </w:p>
        </w:tc>
        <w:tc>
          <w:tcPr>
            <w:tcW w:type="dxa" w:w="2665"/>
            <w:tcMar>
              <w:top w:w="90" w:type="dxa"/>
              <w:start w:w="90" w:type="dxa"/>
              <w:bottom w:w="90" w:type="dxa"/>
              <w:end w:w="90" w:type="dxa"/>
            </w:tcMar>
            <w:vAlign w:val="top"/>
          </w:tcPr>
          <w:p>
            <w:pPr>
              <w:spacing w:after="0"/>
            </w:pPr>
            <w:r>
              <w:rPr>
                <w:sz w:val="16"/>
              </w:rPr>
              <w:t>Kommunikation an Kliniken und Praxen</w:t>
            </w:r>
          </w:p>
        </w:tc>
        <w:tc>
          <w:tcPr>
            <w:tcW w:type="dxa" w:w="3288"/>
            <w:tcMar>
              <w:top w:w="90" w:type="dxa"/>
              <w:start w:w="90" w:type="dxa"/>
              <w:bottom w:w="90" w:type="dxa"/>
              <w:end w:w="90" w:type="dxa"/>
            </w:tcMar>
            <w:vAlign w:val="top"/>
          </w:tcPr>
          <w:p>
            <w:pPr>
              <w:spacing w:after="0"/>
            </w:pPr>
            <w:r>
              <w:rPr>
                <w:sz w:val="16"/>
              </w:rPr>
              <w:t>Entwurf Vertrieb</w:t>
            </w:r>
          </w:p>
        </w:tc>
        <w:tc>
          <w:tcPr>
            <w:tcW w:type="dxa" w:w="2948"/>
            <w:tcMar>
              <w:top w:w="90" w:type="dxa"/>
              <w:start w:w="90" w:type="dxa"/>
              <w:bottom w:w="90" w:type="dxa"/>
              <w:end w:w="90" w:type="dxa"/>
            </w:tcMar>
            <w:vAlign w:val="top"/>
          </w:tcPr>
          <w:p>
            <w:pPr>
              <w:spacing w:after="0"/>
            </w:pPr>
            <w:r>
              <w:rPr>
                <w:sz w:val="16"/>
              </w:rPr>
              <w:t>Abgestimmte Zuständigkeit bis 31. Dezember 2026</w:t>
            </w:r>
          </w:p>
        </w:tc>
      </w:tr>
    </w:tbl>
    <w:p>
      <w:pPr>
        <w:spacing w:after="20"/>
      </w:pPr>
    </w:p>
    <w:p>
      <w:pPr>
        <w:pStyle w:val="Heading1"/>
      </w:pPr>
      <w:r>
        <w:t>2. Zahlenstand</w:t>
      </w:r>
    </w:p>
    <w:p>
      <w:pPr>
        <w:widowControl/>
      </w:pPr>
      <w:r>
        <w:t>Controlling weist für 2025 abgerechnete Provisionen von 186740 EUR aus. Die Vertriebsdatei der Altfeld Vertrieb GmbH nennt 204380 EUR. Die Differenz ist noch nicht auf einzelne Geschäfte zurückgeführt. Für 2026 liegen bis Ende April drei strittige Vorgänge mit einem Nettoauftragswert von insgesamt 302000 EUR vor.</w:t>
      </w:r>
    </w:p>
    <w:p>
      <w:pPr>
        <w:widowControl/>
      </w:pPr>
      <w:r>
        <w:t>Die Stornoreserve wird im System pauschal mit zwanzig Prozent der als auszahlbar markierten Provision gebildet. Für die Akte fehlt bislang eine Liste, aus der Ausführung, Nichtausführung, Rückgabe, Kundengrund und spätere Freigabe je Geschäft hervorgehen.</w:t>
      </w:r>
    </w:p>
    <w:p>
      <w:pPr>
        <w:pStyle w:val="Heading1"/>
      </w:pPr>
      <w:r>
        <w:t>3. Unterlagen für die Sitzung</w:t>
      </w:r>
    </w:p>
    <w:tbl>
      <w:tblPr>
        <w:tblStyle w:val="TableGrid"/>
        <w:tblW w:type="auto" w:w="0"/>
        <w:tblLayout w:type="fixed"/>
        <w:tblLook w:firstColumn="1" w:firstRow="1" w:lastColumn="0" w:lastRow="0" w:noHBand="0" w:noVBand="1" w:val="04A0"/>
      </w:tblPr>
      <w:tblGrid>
        <w:gridCol w:w="3175"/>
        <w:gridCol w:w="1814"/>
        <w:gridCol w:w="1984"/>
        <w:gridCol w:w="2551"/>
      </w:tblGrid>
      <w:tr>
        <w:tc>
          <w:tcPr>
            <w:tcW w:type="dxa" w:w="2395"/>
            <w:shd w:fill="17324D"/>
            <w:tcMar>
              <w:top w:w="90" w:type="dxa"/>
              <w:start w:w="90" w:type="dxa"/>
              <w:bottom w:w="90" w:type="dxa"/>
              <w:end w:w="90" w:type="dxa"/>
            </w:tcMar>
          </w:tcPr>
          <w:p>
            <w:r>
              <w:rPr>
                <w:b/>
                <w:color w:val="FFFFFF"/>
                <w:sz w:val="17"/>
              </w:rPr>
              <w:t>Dokument</w:t>
            </w:r>
          </w:p>
        </w:tc>
        <w:tc>
          <w:tcPr>
            <w:tcW w:type="dxa" w:w="2395"/>
            <w:shd w:fill="17324D"/>
            <w:tcMar>
              <w:top w:w="90" w:type="dxa"/>
              <w:start w:w="90" w:type="dxa"/>
              <w:bottom w:w="90" w:type="dxa"/>
              <w:end w:w="90" w:type="dxa"/>
            </w:tcMar>
          </w:tcPr>
          <w:p>
            <w:r>
              <w:rPr>
                <w:b/>
                <w:color w:val="FFFFFF"/>
                <w:sz w:val="17"/>
              </w:rPr>
              <w:t>Stand</w:t>
            </w:r>
          </w:p>
        </w:tc>
        <w:tc>
          <w:tcPr>
            <w:tcW w:type="dxa" w:w="2395"/>
            <w:shd w:fill="17324D"/>
            <w:tcMar>
              <w:top w:w="90" w:type="dxa"/>
              <w:start w:w="90" w:type="dxa"/>
              <w:bottom w:w="90" w:type="dxa"/>
              <w:end w:w="90" w:type="dxa"/>
            </w:tcMar>
          </w:tcPr>
          <w:p>
            <w:r>
              <w:rPr>
                <w:b/>
                <w:color w:val="FFFFFF"/>
                <w:sz w:val="17"/>
              </w:rPr>
              <w:t>Verantwortlich</w:t>
            </w:r>
          </w:p>
        </w:tc>
        <w:tc>
          <w:tcPr>
            <w:tcW w:type="dxa" w:w="2395"/>
            <w:shd w:fill="17324D"/>
            <w:tcMar>
              <w:top w:w="90" w:type="dxa"/>
              <w:start w:w="90" w:type="dxa"/>
              <w:bottom w:w="90" w:type="dxa"/>
              <w:end w:w="90" w:type="dxa"/>
            </w:tcMar>
          </w:tcPr>
          <w:p>
            <w:r>
              <w:rPr>
                <w:b/>
                <w:color w:val="FFFFFF"/>
                <w:sz w:val="17"/>
              </w:rPr>
              <w:t>Bemerkung</w:t>
            </w:r>
          </w:p>
        </w:tc>
      </w:tr>
      <w:tr>
        <w:tc>
          <w:tcPr>
            <w:tcW w:type="dxa" w:w="3175"/>
            <w:tcMar>
              <w:top w:w="90" w:type="dxa"/>
              <w:start w:w="90" w:type="dxa"/>
              <w:bottom w:w="90" w:type="dxa"/>
              <w:end w:w="90" w:type="dxa"/>
            </w:tcMar>
            <w:vAlign w:val="top"/>
          </w:tcPr>
          <w:p>
            <w:pPr>
              <w:spacing w:after="0"/>
            </w:pPr>
            <w:r>
              <w:rPr>
                <w:sz w:val="16"/>
              </w:rPr>
              <w:t>Handelsvertretervertrag einschließlich Anlagen</w:t>
            </w:r>
          </w:p>
        </w:tc>
        <w:tc>
          <w:tcPr>
            <w:tcW w:type="dxa" w:w="1814"/>
            <w:tcMar>
              <w:top w:w="90" w:type="dxa"/>
              <w:start w:w="90" w:type="dxa"/>
              <w:bottom w:w="90" w:type="dxa"/>
              <w:end w:w="90" w:type="dxa"/>
            </w:tcMar>
            <w:vAlign w:val="top"/>
          </w:tcPr>
          <w:p>
            <w:pPr>
              <w:spacing w:after="0"/>
            </w:pPr>
            <w:r>
              <w:rPr>
                <w:sz w:val="16"/>
              </w:rPr>
              <w:t>Original im Archiv gesucht</w:t>
            </w:r>
          </w:p>
        </w:tc>
        <w:tc>
          <w:tcPr>
            <w:tcW w:type="dxa" w:w="1984"/>
            <w:tcMar>
              <w:top w:w="90" w:type="dxa"/>
              <w:start w:w="90" w:type="dxa"/>
              <w:bottom w:w="90" w:type="dxa"/>
              <w:end w:w="90" w:type="dxa"/>
            </w:tcMar>
            <w:vAlign w:val="top"/>
          </w:tcPr>
          <w:p>
            <w:pPr>
              <w:spacing w:after="0"/>
            </w:pPr>
            <w:r>
              <w:rPr>
                <w:sz w:val="16"/>
              </w:rPr>
              <w:t>Legal / Archiv</w:t>
            </w:r>
          </w:p>
        </w:tc>
        <w:tc>
          <w:tcPr>
            <w:tcW w:type="dxa" w:w="2551"/>
            <w:tcMar>
              <w:top w:w="90" w:type="dxa"/>
              <w:start w:w="90" w:type="dxa"/>
              <w:bottom w:w="90" w:type="dxa"/>
              <w:end w:w="90" w:type="dxa"/>
            </w:tcMar>
            <w:vAlign w:val="top"/>
          </w:tcPr>
          <w:p>
            <w:pPr>
              <w:spacing w:after="0"/>
            </w:pPr>
            <w:r>
              <w:rPr>
                <w:sz w:val="16"/>
              </w:rPr>
              <w:t>Scan soll bis 9. Juni vorliegen</w:t>
            </w:r>
          </w:p>
        </w:tc>
      </w:tr>
      <w:tr>
        <w:tc>
          <w:tcPr>
            <w:tcW w:type="dxa" w:w="3175"/>
            <w:tcMar>
              <w:top w:w="90" w:type="dxa"/>
              <w:start w:w="90" w:type="dxa"/>
              <w:bottom w:w="90" w:type="dxa"/>
              <w:end w:w="90" w:type="dxa"/>
            </w:tcMar>
            <w:vAlign w:val="top"/>
            <w:shd w:fill="F5F7F8"/>
          </w:tcPr>
          <w:p>
            <w:pPr>
              <w:spacing w:after="0"/>
            </w:pPr>
            <w:r>
              <w:rPr>
                <w:sz w:val="16"/>
              </w:rPr>
              <w:t>Buchauszug 2023 bis 2026</w:t>
            </w:r>
          </w:p>
        </w:tc>
        <w:tc>
          <w:tcPr>
            <w:tcW w:type="dxa" w:w="1814"/>
            <w:tcMar>
              <w:top w:w="90" w:type="dxa"/>
              <w:start w:w="90" w:type="dxa"/>
              <w:bottom w:w="90" w:type="dxa"/>
              <w:end w:w="90" w:type="dxa"/>
            </w:tcMar>
            <w:vAlign w:val="top"/>
            <w:shd w:fill="F5F7F8"/>
          </w:tcPr>
          <w:p>
            <w:pPr>
              <w:spacing w:after="0"/>
            </w:pPr>
            <w:r>
              <w:rPr>
                <w:sz w:val="16"/>
              </w:rPr>
              <w:t>Datenabzug begonnen</w:t>
            </w:r>
          </w:p>
        </w:tc>
        <w:tc>
          <w:tcPr>
            <w:tcW w:type="dxa" w:w="1984"/>
            <w:tcMar>
              <w:top w:w="90" w:type="dxa"/>
              <w:start w:w="90" w:type="dxa"/>
              <w:bottom w:w="90" w:type="dxa"/>
              <w:end w:w="90" w:type="dxa"/>
            </w:tcMar>
            <w:vAlign w:val="top"/>
            <w:shd w:fill="F5F7F8"/>
          </w:tcPr>
          <w:p>
            <w:pPr>
              <w:spacing w:after="0"/>
            </w:pPr>
            <w:r>
              <w:rPr>
                <w:sz w:val="16"/>
              </w:rPr>
              <w:t>Controlling</w:t>
            </w:r>
          </w:p>
        </w:tc>
        <w:tc>
          <w:tcPr>
            <w:tcW w:type="dxa" w:w="2551"/>
            <w:tcMar>
              <w:top w:w="90" w:type="dxa"/>
              <w:start w:w="90" w:type="dxa"/>
              <w:bottom w:w="90" w:type="dxa"/>
              <w:end w:w="90" w:type="dxa"/>
            </w:tcMar>
            <w:vAlign w:val="top"/>
            <w:shd w:fill="F5F7F8"/>
          </w:tcPr>
          <w:p>
            <w:pPr>
              <w:spacing w:after="0"/>
            </w:pPr>
            <w:r>
              <w:rPr>
                <w:sz w:val="16"/>
              </w:rPr>
              <w:t>Online- und Key-Account-Felder nicht vereinheitlicht</w:t>
            </w:r>
          </w:p>
        </w:tc>
      </w:tr>
      <w:tr>
        <w:tc>
          <w:tcPr>
            <w:tcW w:type="dxa" w:w="3175"/>
            <w:tcMar>
              <w:top w:w="90" w:type="dxa"/>
              <w:start w:w="90" w:type="dxa"/>
              <w:bottom w:w="90" w:type="dxa"/>
              <w:end w:w="90" w:type="dxa"/>
            </w:tcMar>
            <w:vAlign w:val="top"/>
          </w:tcPr>
          <w:p>
            <w:pPr>
              <w:spacing w:after="0"/>
            </w:pPr>
            <w:r>
              <w:rPr>
                <w:sz w:val="16"/>
              </w:rPr>
              <w:t>CRM-Export</w:t>
            </w:r>
          </w:p>
        </w:tc>
        <w:tc>
          <w:tcPr>
            <w:tcW w:type="dxa" w:w="1814"/>
            <w:tcMar>
              <w:top w:w="90" w:type="dxa"/>
              <w:start w:w="90" w:type="dxa"/>
              <w:bottom w:w="90" w:type="dxa"/>
              <w:end w:w="90" w:type="dxa"/>
            </w:tcMar>
            <w:vAlign w:val="top"/>
          </w:tcPr>
          <w:p>
            <w:pPr>
              <w:spacing w:after="0"/>
            </w:pPr>
            <w:r>
              <w:rPr>
                <w:sz w:val="16"/>
              </w:rPr>
              <w:t>Technisch möglich</w:t>
            </w:r>
          </w:p>
        </w:tc>
        <w:tc>
          <w:tcPr>
            <w:tcW w:type="dxa" w:w="1984"/>
            <w:tcMar>
              <w:top w:w="90" w:type="dxa"/>
              <w:start w:w="90" w:type="dxa"/>
              <w:bottom w:w="90" w:type="dxa"/>
              <w:end w:w="90" w:type="dxa"/>
            </w:tcMar>
            <w:vAlign w:val="top"/>
          </w:tcPr>
          <w:p>
            <w:pPr>
              <w:spacing w:after="0"/>
            </w:pPr>
            <w:r>
              <w:rPr>
                <w:sz w:val="16"/>
              </w:rPr>
              <w:t>IT</w:t>
            </w:r>
          </w:p>
        </w:tc>
        <w:tc>
          <w:tcPr>
            <w:tcW w:type="dxa" w:w="2551"/>
            <w:tcMar>
              <w:top w:w="90" w:type="dxa"/>
              <w:start w:w="90" w:type="dxa"/>
              <w:bottom w:w="90" w:type="dxa"/>
              <w:end w:w="90" w:type="dxa"/>
            </w:tcMar>
            <w:vAlign w:val="top"/>
          </w:tcPr>
          <w:p>
            <w:pPr>
              <w:spacing w:after="0"/>
            </w:pPr>
            <w:r>
              <w:rPr>
                <w:sz w:val="16"/>
              </w:rPr>
              <w:t>Personenbezogene Freitexte enthalten</w:t>
            </w:r>
          </w:p>
        </w:tc>
      </w:tr>
      <w:tr>
        <w:tc>
          <w:tcPr>
            <w:tcW w:type="dxa" w:w="3175"/>
            <w:tcMar>
              <w:top w:w="90" w:type="dxa"/>
              <w:start w:w="90" w:type="dxa"/>
              <w:bottom w:w="90" w:type="dxa"/>
              <w:end w:w="90" w:type="dxa"/>
            </w:tcMar>
            <w:vAlign w:val="top"/>
            <w:shd w:fill="F5F7F8"/>
          </w:tcPr>
          <w:p>
            <w:pPr>
              <w:spacing w:after="0"/>
            </w:pPr>
            <w:r>
              <w:rPr>
                <w:sz w:val="16"/>
              </w:rPr>
              <w:t>Kundenhistorie</w:t>
            </w:r>
          </w:p>
        </w:tc>
        <w:tc>
          <w:tcPr>
            <w:tcW w:type="dxa" w:w="1814"/>
            <w:tcMar>
              <w:top w:w="90" w:type="dxa"/>
              <w:start w:w="90" w:type="dxa"/>
              <w:bottom w:w="90" w:type="dxa"/>
              <w:end w:w="90" w:type="dxa"/>
            </w:tcMar>
            <w:vAlign w:val="top"/>
            <w:shd w:fill="F5F7F8"/>
          </w:tcPr>
          <w:p>
            <w:pPr>
              <w:spacing w:after="0"/>
            </w:pPr>
            <w:r>
              <w:rPr>
                <w:sz w:val="16"/>
              </w:rPr>
              <w:t>Drei Kunden exemplarisch</w:t>
            </w:r>
          </w:p>
        </w:tc>
        <w:tc>
          <w:tcPr>
            <w:tcW w:type="dxa" w:w="1984"/>
            <w:tcMar>
              <w:top w:w="90" w:type="dxa"/>
              <w:start w:w="90" w:type="dxa"/>
              <w:bottom w:w="90" w:type="dxa"/>
              <w:end w:w="90" w:type="dxa"/>
            </w:tcMar>
            <w:vAlign w:val="top"/>
            <w:shd w:fill="F5F7F8"/>
          </w:tcPr>
          <w:p>
            <w:pPr>
              <w:spacing w:after="0"/>
            </w:pPr>
            <w:r>
              <w:rPr>
                <w:sz w:val="16"/>
              </w:rPr>
              <w:t>Vertrieb</w:t>
            </w:r>
          </w:p>
        </w:tc>
        <w:tc>
          <w:tcPr>
            <w:tcW w:type="dxa" w:w="2551"/>
            <w:tcMar>
              <w:top w:w="90" w:type="dxa"/>
              <w:start w:w="90" w:type="dxa"/>
              <w:bottom w:w="90" w:type="dxa"/>
              <w:end w:w="90" w:type="dxa"/>
            </w:tcMar>
            <w:vAlign w:val="top"/>
            <w:shd w:fill="F5F7F8"/>
          </w:tcPr>
          <w:p>
            <w:pPr>
              <w:spacing w:after="0"/>
            </w:pPr>
            <w:r>
              <w:rPr>
                <w:sz w:val="16"/>
              </w:rPr>
              <w:t>Erstkontakt und Folgeumsatz nicht durchgängig belegt</w:t>
            </w:r>
          </w:p>
        </w:tc>
      </w:tr>
      <w:tr>
        <w:tc>
          <w:tcPr>
            <w:tcW w:type="dxa" w:w="3175"/>
            <w:tcMar>
              <w:top w:w="90" w:type="dxa"/>
              <w:start w:w="90" w:type="dxa"/>
              <w:bottom w:w="90" w:type="dxa"/>
              <w:end w:w="90" w:type="dxa"/>
            </w:tcMar>
            <w:vAlign w:val="top"/>
          </w:tcPr>
          <w:p>
            <w:pPr>
              <w:spacing w:after="0"/>
            </w:pPr>
            <w:r>
              <w:rPr>
                <w:sz w:val="16"/>
              </w:rPr>
              <w:t>Kommunikationsentwurf</w:t>
            </w:r>
          </w:p>
        </w:tc>
        <w:tc>
          <w:tcPr>
            <w:tcW w:type="dxa" w:w="1814"/>
            <w:tcMar>
              <w:top w:w="90" w:type="dxa"/>
              <w:start w:w="90" w:type="dxa"/>
              <w:bottom w:w="90" w:type="dxa"/>
              <w:end w:w="90" w:type="dxa"/>
            </w:tcMar>
            <w:vAlign w:val="top"/>
          </w:tcPr>
          <w:p>
            <w:pPr>
              <w:spacing w:after="0"/>
            </w:pPr>
            <w:r>
              <w:rPr>
                <w:sz w:val="16"/>
              </w:rPr>
              <w:t>Version 0.3</w:t>
            </w:r>
          </w:p>
        </w:tc>
        <w:tc>
          <w:tcPr>
            <w:tcW w:type="dxa" w:w="1984"/>
            <w:tcMar>
              <w:top w:w="90" w:type="dxa"/>
              <w:start w:w="90" w:type="dxa"/>
              <w:bottom w:w="90" w:type="dxa"/>
              <w:end w:w="90" w:type="dxa"/>
            </w:tcMar>
            <w:vAlign w:val="top"/>
          </w:tcPr>
          <w:p>
            <w:pPr>
              <w:spacing w:after="0"/>
            </w:pPr>
            <w:r>
              <w:rPr>
                <w:sz w:val="16"/>
              </w:rPr>
              <w:t>Vertrieb / Legal</w:t>
            </w:r>
          </w:p>
        </w:tc>
        <w:tc>
          <w:tcPr>
            <w:tcW w:type="dxa" w:w="2551"/>
            <w:tcMar>
              <w:top w:w="90" w:type="dxa"/>
              <w:start w:w="90" w:type="dxa"/>
              <w:bottom w:w="90" w:type="dxa"/>
              <w:end w:w="90" w:type="dxa"/>
            </w:tcMar>
            <w:vAlign w:val="top"/>
          </w:tcPr>
          <w:p>
            <w:pPr>
              <w:spacing w:after="0"/>
            </w:pPr>
            <w:r>
              <w:rPr>
                <w:sz w:val="16"/>
              </w:rPr>
              <w:t>Keine Versendung vor Beschluss</w:t>
            </w:r>
          </w:p>
        </w:tc>
      </w:tr>
    </w:tbl>
    <w:p>
      <w:pPr>
        <w:spacing w:after="20"/>
      </w:pPr>
    </w:p>
    <w:p>
      <w:pPr>
        <w:pStyle w:val="Heading1"/>
      </w:pPr>
      <w:r>
        <w:t>4. Protokollvorgabe</w:t>
      </w:r>
    </w:p>
    <w:p>
      <w:pPr>
        <w:widowControl/>
      </w:pPr>
      <w:r>
        <w:t>Der Beschluss soll je Punkt Verantwortlichen, Liefertermin, Datenquelle und Freigabestufe nennen. Beträge in der Sitzung sind nur mit Herkunft und Rechenstand zu protokollieren. Eine rechtliche Bewertung wird in dieser Tatsachen- und Entscheidungsvorlage nicht vorweggenommen.</w:t>
      </w:r>
    </w:p>
    <w:p>
      <w:pPr>
        <w:keepLines/>
        <w:spacing w:before="120"/>
      </w:pPr>
      <w:r>
        <w:rPr>
          <w:b/>
        </w:rPr>
        <w:t>Lea Huth · Leitung Legal Operations</w:t>
      </w:r>
    </w:p>
    <w:sectPr w:rsidR="00FC693F" w:rsidRPr="0006063C" w:rsidSect="00034616">
      <w:footerReference w:type="default" r:id="rId9"/>
      <w:pgSz w:w="11906" w:h="16838"/>
      <w:pgMar w:top="1247" w:right="1134" w:bottom="1020"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59636B"/>
        <w:sz w:val="16"/>
      </w:rPr>
      <w:t xml:space="preserve">NORDSTERN MEDTECH GMBH · NSM-LGL-2026-117 · Seite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026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66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732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