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520"/>
        <w:gridCol w:w="2948"/>
      </w:tblGrid>
      <w:tr>
        <w:tc>
          <w:tcPr>
            <w:tcW w:type="dxa" w:w="4790"/>
            <w:tcMar>
              <w:top w:w="0" w:type="dxa"/>
              <w:start w:w="0" w:type="dxa"/>
              <w:bottom w:w="80" w:type="dxa"/>
              <w:end w:w="80" w:type="dxa"/>
            </w:tcMar>
          </w:tcPr>
          <w:p>
            <w:pPr>
              <w:spacing w:after="20"/>
            </w:pPr>
            <w:r>
              <w:rPr>
                <w:b/>
                <w:color w:val="17324D"/>
                <w:sz w:val="24"/>
              </w:rPr>
              <w:t>BRETTSCHNEIDER · HOLLÄNDER RECHTSANWÄLTE</w:t>
            </w:r>
          </w:p>
          <w:p>
            <w:pPr>
              <w:spacing w:after="0"/>
            </w:pPr>
            <w:r>
              <w:rPr>
                <w:color w:val="59636B"/>
                <w:sz w:val="16"/>
              </w:rPr>
              <w:t>Neue Mainzer Straße 52 · 60311 Frankfurt am Main · Telefon 069 921 48 60 · Fax 069 921 48 629</w:t>
            </w:r>
          </w:p>
          <w:p>
            <w:pPr>
              <w:spacing w:after="0"/>
            </w:pPr>
            <w:r>
              <w:rPr>
                <w:color w:val="59636B"/>
                <w:sz w:val="16"/>
              </w:rPr>
              <w:t>compliance@bh-recht.de · Partnerschaftsregister AG Frankfurt am Main PR 2184</w:t>
            </w:r>
          </w:p>
        </w:tc>
        <w:tc>
          <w:tcPr>
            <w:tcW w:type="dxa" w:w="4790"/>
            <w:tcMar>
              <w:top w:w="0" w:type="dxa"/>
              <w:start w:w="80" w:type="dxa"/>
              <w:bottom w:w="80" w:type="dxa"/>
              <w:end w:w="0" w:type="dxa"/>
            </w:tcMar>
          </w:tcPr>
          <w:p>
            <w:pPr>
              <w:jc w:val="right"/>
            </w:pPr>
            <w:r>
              <w:rPr>
                <w:b/>
                <w:color w:val="2E668B"/>
                <w:sz w:val="18"/>
              </w:rPr>
              <w:t>EREIGNIS- UND FRISTENBLATT</w:t>
            </w:r>
          </w:p>
        </w:tc>
      </w:tr>
    </w:tbl>
    <w:p>
      <w:pPr>
        <w:spacing w:after="160"/>
        <w:pBdr>
          <w:bottom w:val="single" w:sz="10" w:space="1" w:color="2E668B"/>
        </w:pBdr>
      </w:pPr>
    </w:p>
    <w:p>
      <w:pPr>
        <w:pStyle w:val="Title"/>
      </w:pPr>
      <w:r>
        <w:t>Ereignislinie Hinweisfall HIN-26-014</w:t>
      </w:r>
    </w:p>
    <w:p>
      <w:pPr>
        <w:spacing w:after="180"/>
      </w:pPr>
      <w:r>
        <w:rPr>
          <w:b/>
          <w:color w:val="2E668B"/>
        </w:rPr>
        <w:t>Waldkrone HealthTech GmbH · Stand 2. Juni 2026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200"/>
      </w:tblGrid>
      <w:tr>
        <w:tc>
          <w:tcPr>
            <w:tcW w:type="dxa" w:w="2268"/>
            <w:shd w:fill="EAF1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Bearbeitung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David Holländer, Rechtsanwalt</w:t>
            </w:r>
          </w:p>
        </w:tc>
      </w:tr>
      <w:tr>
        <w:tc>
          <w:tcPr>
            <w:tcW w:type="dxa" w:w="2268"/>
            <w:shd w:fill="EAF1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Zweitkontrolle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Dr. Anja Brettschneider</w:t>
            </w:r>
          </w:p>
        </w:tc>
      </w:tr>
      <w:tr>
        <w:tc>
          <w:tcPr>
            <w:tcW w:type="dxa" w:w="2268"/>
            <w:shd w:fill="EAF1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Quellen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Portalexport, E-Mail-Header, NDA-Versionen, HR-Kalender, IT-Logauszug</w:t>
            </w:r>
          </w:p>
        </w:tc>
      </w:tr>
      <w:tr>
        <w:tc>
          <w:tcPr>
            <w:tcW w:type="dxa" w:w="2268"/>
            <w:shd w:fill="EAF1F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Grundsatz</w:t>
            </w:r>
          </w:p>
        </w:tc>
        <w:tc>
          <w:tcPr>
            <w:tcW w:type="dxa" w:w="72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Zeitpunkte werden erst nach Abgleich mit Originalsystem und Zeitzone als gesichert markiert.</w:t>
            </w:r>
          </w:p>
        </w:tc>
      </w:tr>
    </w:tbl>
    <w:p>
      <w:pPr>
        <w:spacing w:after="20"/>
      </w:pPr>
    </w:p>
    <w:p>
      <w:pPr>
        <w:pStyle w:val="Heading1"/>
      </w:pPr>
      <w:r>
        <w:t>1. Ereignislinie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2891"/>
        <w:gridCol w:w="2324"/>
        <w:gridCol w:w="2721"/>
      </w:tblGrid>
      <w:tr>
        <w:tc>
          <w:tcPr>
            <w:tcW w:type="dxa" w:w="2395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Datum und Uhrzeit</w:t>
            </w:r>
          </w:p>
        </w:tc>
        <w:tc>
          <w:tcPr>
            <w:tcW w:type="dxa" w:w="2395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Ereignis</w:t>
            </w:r>
          </w:p>
        </w:tc>
        <w:tc>
          <w:tcPr>
            <w:tcW w:type="dxa" w:w="2395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Quelle</w:t>
            </w:r>
          </w:p>
        </w:tc>
        <w:tc>
          <w:tcPr>
            <w:tcW w:type="dxa" w:w="2395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Offener Prüfpunkt</w:t>
            </w:r>
          </w:p>
        </w:tc>
      </w:tr>
      <w:tr>
        <w:tc>
          <w:tcPr>
            <w:tcW w:type="dxa" w:w="175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8. April 2026, 16:22 Uhr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Regulatory Affairs lädt Version 7 der Produktakte in den Freigabeordner</w:t>
            </w:r>
          </w:p>
        </w:tc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Dateimetadaten</w:t>
            </w:r>
          </w:p>
        </w:tc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Abgleich mit Versionen 5, 6 und „Final“</w:t>
            </w:r>
          </w:p>
        </w:tc>
      </w:tr>
      <w:tr>
        <w:tc>
          <w:tcPr>
            <w:tcW w:type="dxa" w:w="175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14. April 2026, 09:18 Uhr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Vertrieb bittet um Freigabe einer Lieferung über Baltic Orbis OÜ</w:t>
            </w:r>
          </w:p>
        </w:tc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E-Mail Vertrieb</w:t>
            </w:r>
          </w:p>
        </w:tc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Empfänger, Endverwendung und Freigabekette</w:t>
            </w:r>
          </w:p>
        </w:tc>
      </w:tr>
      <w:tr>
        <w:tc>
          <w:tcPr>
            <w:tcW w:type="dxa" w:w="175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28. April 2026, 17:06 Uhr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HR erhält Entwurf einer Bonuskürzung für Tobias Kern</w:t>
            </w:r>
          </w:p>
        </w:tc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HR-Kalender und Entwurf</w:t>
            </w:r>
          </w:p>
        </w:tc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Ersteller, vorherige Leistungsdokumentation und Freigabe</w:t>
            </w:r>
          </w:p>
        </w:tc>
      </w:tr>
      <w:tr>
        <w:tc>
          <w:tcPr>
            <w:tcW w:type="dxa" w:w="175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18. Mai 2026, 11:40 Uhr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Projekt Eibenwald eröffnet Datenraum</w:t>
            </w:r>
          </w:p>
        </w:tc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Deal-Log</w:t>
            </w:r>
          </w:p>
        </w:tc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Welche Regulatory-Unterlagen wurden eingestellt</w:t>
            </w:r>
          </w:p>
        </w:tc>
      </w:tr>
      <w:tr>
        <w:tc>
          <w:tcPr>
            <w:tcW w:type="dxa" w:w="175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22. Mai 2026, 21:14 Uhr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Anonyme Erstmeldung über Portal</w:t>
            </w:r>
          </w:p>
        </w:tc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Portalvorgang HIN-26-014</w:t>
            </w:r>
          </w:p>
        </w:tc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Originaltext, Anhänge, Audit Trail und Rückkanalstatus</w:t>
            </w:r>
          </w:p>
        </w:tc>
      </w:tr>
      <w:tr>
        <w:tc>
          <w:tcPr>
            <w:tcW w:type="dxa" w:w="175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23. Mai 2026, 08:07 Uhr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Automatische Portalbenachrichtigung an Meldestelle</w:t>
            </w:r>
          </w:p>
        </w:tc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Mailheader</w:t>
            </w:r>
          </w:p>
        </w:tc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Zustellung an Vertretung und Zugriffsprotokoll</w:t>
            </w:r>
          </w:p>
        </w:tc>
      </w:tr>
      <w:tr>
        <w:tc>
          <w:tcPr>
            <w:tcW w:type="dxa" w:w="175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24. Mai 2026, 10:03 Uhr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Empfangsbestätigung im Rückkanal</w:t>
            </w:r>
          </w:p>
        </w:tc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Portaljournal</w:t>
            </w:r>
          </w:p>
        </w:tc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Inhalt und Versandstatus sichern</w:t>
            </w:r>
          </w:p>
        </w:tc>
      </w:tr>
      <w:tr>
        <w:tc>
          <w:tcPr>
            <w:tcW w:type="dxa" w:w="175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26. Mai 2026, 13:35 Uhr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Deal-Team verlangt strikte NDA-Kommunikation</w:t>
            </w:r>
          </w:p>
        </w:tc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E-Mail 08</w:t>
            </w:r>
          </w:p>
        </w:tc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Reichweite der Klausel und Empfängerkreis</w:t>
            </w:r>
          </w:p>
        </w:tc>
      </w:tr>
      <w:tr>
        <w:tc>
          <w:tcPr>
            <w:tcW w:type="dxa" w:w="175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27. Mai 2026, 15:20 Uhr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IT exportiert Portalanhänge in einen gemeinsamen Ordner</w:t>
            </w:r>
          </w:p>
        </w:tc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Technischer Kurzbericht</w:t>
            </w:r>
          </w:p>
        </w:tc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Zugriffsrechte, Verschlüsselung und Kopien</w:t>
            </w:r>
          </w:p>
        </w:tc>
      </w:tr>
      <w:tr>
        <w:tc>
          <w:tcPr>
            <w:tcW w:type="dxa" w:w="175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30. Mai 2026, 06:52 Uhr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Hinweisgebende Person benennt Netzlaufwerk und mögliche Zeugin</w:t>
            </w:r>
          </w:p>
        </w:tc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Rückkanal-Nachreichung</w:t>
            </w:r>
          </w:p>
        </w:tc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Unveränderte Sicherung vor Kontaktaufnahme</w:t>
            </w:r>
          </w:p>
        </w:tc>
      </w:tr>
      <w:tr>
        <w:tc>
          <w:tcPr>
            <w:tcW w:type="dxa" w:w="175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1. Juni 2026, 08:35 Uhr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Externe Beratung beauftragt</w:t>
            </w:r>
          </w:p>
        </w:tc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Mandatsvermerk</w:t>
            </w:r>
          </w:p>
        </w:tc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Vollmacht und Untersuchungsauftrag schriftlich bestätigen</w:t>
            </w:r>
          </w:p>
        </w:tc>
      </w:tr>
      <w:tr>
        <w:tc>
          <w:tcPr>
            <w:tcW w:type="dxa" w:w="175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2. Juni 2026, 14:00 Uhr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Legal Hold und Hashsicherung vorgesehen</w:t>
            </w:r>
          </w:p>
        </w:tc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Arbeitsauftrag</w:t>
            </w:r>
          </w:p>
        </w:tc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Vollzug durch IT dokumentieren</w:t>
            </w:r>
          </w:p>
        </w:tc>
      </w:tr>
      <w:tr>
        <w:tc>
          <w:tcPr>
            <w:tcW w:type="dxa" w:w="175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5. Juni 2026, 09:00 Uhr</w:t>
            </w:r>
          </w:p>
        </w:tc>
        <w:tc>
          <w:tcPr>
            <w:tcW w:type="dxa" w:w="28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Geschäftsleitungsbesprechung</w:t>
            </w:r>
          </w:p>
        </w:tc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Kalendereinladung</w:t>
            </w:r>
          </w:p>
        </w:tc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Entscheidungspunkte und Teilnehmerkreis festlegen</w:t>
            </w:r>
          </w:p>
        </w:tc>
      </w:tr>
    </w:tbl>
    <w:p>
      <w:pPr>
        <w:spacing w:after="20"/>
      </w:pPr>
    </w:p>
    <w:p>
      <w:pPr>
        <w:pStyle w:val="Heading1"/>
      </w:pPr>
      <w:r>
        <w:t>2. Fristen und Wiedervorlagen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551"/>
        <w:gridCol w:w="1928"/>
        <w:gridCol w:w="1928"/>
        <w:gridCol w:w="1928"/>
      </w:tblGrid>
      <w:tr>
        <w:tc>
          <w:tcPr>
            <w:tcW w:type="dxa" w:w="1916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Vorgang</w:t>
            </w:r>
          </w:p>
        </w:tc>
        <w:tc>
          <w:tcPr>
            <w:tcW w:type="dxa" w:w="1916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Auslöser</w:t>
            </w:r>
          </w:p>
        </w:tc>
        <w:tc>
          <w:tcPr>
            <w:tcW w:type="dxa" w:w="1916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Kalenderstand</w:t>
            </w:r>
          </w:p>
        </w:tc>
        <w:tc>
          <w:tcPr>
            <w:tcW w:type="dxa" w:w="1916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Verantwortlich</w:t>
            </w:r>
          </w:p>
        </w:tc>
        <w:tc>
          <w:tcPr>
            <w:tcW w:type="dxa" w:w="1916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Kontrollvermerk</w:t>
            </w:r>
          </w:p>
        </w:tc>
      </w:tr>
      <w:tr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Empfangsbestätigung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Erstmeldung 22. Mai 2026</w:t>
            </w:r>
          </w:p>
        </w:tc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Versandt am 24. Mai 2026</w:t>
            </w:r>
          </w:p>
        </w:tc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Meldestelle</w:t>
            </w:r>
          </w:p>
        </w:tc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Portaljournal vorhanden</w:t>
            </w:r>
          </w:p>
        </w:tc>
      </w:tr>
      <w:tr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Rückmeldung an hinweisgebende Person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Empfangsbestätigung</w:t>
            </w:r>
          </w:p>
        </w:tc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Fristquelle und Enddatum live prüfen; Vorfrist 12. August 2026</w:t>
            </w:r>
          </w:p>
        </w:tc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Dr. Holländer</w:t>
            </w:r>
          </w:p>
        </w:tc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Noch keine abschließende Fristberechnung</w:t>
            </w:r>
          </w:p>
        </w:tc>
      </w:tr>
      <w:tr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Beweissicherung Regulatory-Dateien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Benannter Speicherort</w:t>
            </w:r>
          </w:p>
        </w:tc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2. Juni 2026, 14:00 Uhr</w:t>
            </w:r>
          </w:p>
        </w:tc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IT / externe Forensik</w:t>
            </w:r>
          </w:p>
        </w:tc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Hashliste ausstehend</w:t>
            </w:r>
          </w:p>
        </w:tc>
      </w:tr>
      <w:tr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Bonusfreigabe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HR-Termin 8. Juni 2026</w:t>
            </w:r>
          </w:p>
        </w:tc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Vorlage bis 3. Juni 2026 sperren</w:t>
            </w:r>
          </w:p>
        </w:tc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HR / Legal</w:t>
            </w:r>
          </w:p>
        </w:tc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Vorakten noch unvollständig</w:t>
            </w:r>
          </w:p>
        </w:tc>
      </w:tr>
      <w:tr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NDA-Antwort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Gegnerische Fassung 26. Mai 2026</w:t>
            </w:r>
          </w:p>
        </w:tc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3. Juni 2026, 16:00 Uhr</w:t>
            </w:r>
          </w:p>
        </w:tc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M&amp;A Legal</w:t>
            </w:r>
          </w:p>
        </w:tc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Carve-out und Empfängerkreis offen</w:t>
            </w:r>
          </w:p>
        </w:tc>
      </w:tr>
      <w:tr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Folgesitzung Meldestelle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Geschäftsleitung 5. Juni</w:t>
            </w:r>
          </w:p>
        </w:tc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9. Juni 2026, 10:30 Uhr</w:t>
            </w:r>
          </w:p>
        </w:tc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Meldestelle</w:t>
            </w:r>
          </w:p>
        </w:tc>
        <w:tc>
          <w:tcPr>
            <w:tcW w:type="dxa" w:w="192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5F7F8"/>
          </w:tcPr>
          <w:p>
            <w:pPr>
              <w:spacing w:after="0"/>
            </w:pPr>
            <w:r>
              <w:rPr>
                <w:sz w:val="16"/>
              </w:rPr>
              <w:t>Interviewfolge erst nach Datensicherung</w:t>
            </w:r>
          </w:p>
        </w:tc>
      </w:tr>
    </w:tbl>
    <w:p>
      <w:pPr>
        <w:spacing w:after="20"/>
      </w:pPr>
    </w:p>
    <w:p>
      <w:pPr>
        <w:pStyle w:val="Heading1"/>
      </w:pPr>
      <w:r>
        <w:t>3. Zeitliche Widersprüche</w:t>
      </w:r>
    </w:p>
    <w:p>
      <w:pPr>
        <w:widowControl/>
      </w:pPr>
      <w:r>
        <w:t>Die Meldung bezeichnet die Produktakte als am 15. April freigegeben; der Dateiheader der im Datenraum sichtbaren Fassung nennt den 18. April. Der Audit Trail des Freigabesystems ist anzufordern.</w:t>
      </w:r>
    </w:p>
    <w:p>
      <w:pPr>
        <w:widowControl/>
      </w:pPr>
      <w:r>
        <w:t>Die Bonusunterlage trägt im Dateinamen den 20. Mai, der HR-Kalender nennt als Erstellungsdatum den 28. April. Dateiversionen und Entwurfsverfasser sind zu trennen.</w:t>
      </w:r>
    </w:p>
    <w:p>
      <w:pPr>
        <w:widowControl/>
      </w:pPr>
      <w:r>
        <w:t>Die Portaloberfläche zeigt für den Anhang einen Upload um 21:14 Uhr, der Downloadordner der IT enthält einen Zeitstempel 20:14 Uhr. Vor Bewertung ist die Zeitzoneneinstellung des Exports festzustellen.</w:t>
      </w:r>
    </w:p>
    <w:p>
      <w:pPr>
        <w:keepLines/>
        <w:spacing w:before="120"/>
      </w:pPr>
      <w:r>
        <w:rPr>
          <w:b/>
        </w:rPr>
        <w:t>David Holländer · Rechtsanwalt · Fristenkontrolle durch Dr. Anja Brettschneider</w:t>
      </w:r>
    </w:p>
    <w:sectPr w:rsidR="00FC693F" w:rsidRPr="0006063C" w:rsidSect="00034616">
      <w:footerReference w:type="default" r:id="rId9"/>
      <w:pgSz w:w="11906" w:h="16838"/>
      <w:pgMar w:top="1247" w:right="1134" w:bottom="1020" w:left="1191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color w:val="59636B"/>
        <w:sz w:val="16"/>
      </w:rPr>
      <w:t xml:space="preserve">BRETTSCHNEIDER · HOLLÄNDER RECHTSANWÄLTE · BH-226/26-C · Seite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2026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E668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7324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