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520"/>
        <w:gridCol w:w="2948"/>
      </w:tblGrid>
      <w:tr>
        <w:tc>
          <w:tcPr>
            <w:tcW w:type="dxa" w:w="4790"/>
            <w:tcMar>
              <w:top w:w="0" w:type="dxa"/>
              <w:start w:w="0" w:type="dxa"/>
              <w:bottom w:w="80" w:type="dxa"/>
              <w:end w:w="80" w:type="dxa"/>
            </w:tcMar>
          </w:tcPr>
          <w:p>
            <w:pPr>
              <w:spacing w:after="20"/>
            </w:pPr>
            <w:r>
              <w:rPr>
                <w:b/>
                <w:color w:val="17324D"/>
                <w:sz w:val="24"/>
              </w:rPr>
              <w:t>MENDELSOHN RECHTSANWÄLTE</w:t>
            </w:r>
          </w:p>
          <w:p>
            <w:pPr>
              <w:spacing w:after="0"/>
            </w:pPr>
            <w:r>
              <w:rPr>
                <w:color w:val="59636B"/>
                <w:sz w:val="16"/>
              </w:rPr>
              <w:t>Königsallee 92a · 40212 Düsseldorf · Telefon 0211 601 38 0 · hochschule@mendelsohn-recht.de</w:t>
            </w:r>
          </w:p>
          <w:p>
            <w:pPr>
              <w:spacing w:after="0"/>
            </w:pPr>
            <w:r>
              <w:rPr>
                <w:color w:val="59636B"/>
                <w:sz w:val="16"/>
              </w:rPr>
              <w:t>Partnerschaftsregister AG Essen PR 3991 · Fremdgeldkonto DE29 3005 0000 0921 4410 17</w:t>
            </w:r>
          </w:p>
        </w:tc>
        <w:tc>
          <w:tcPr>
            <w:tcW w:type="dxa" w:w="4790"/>
            <w:tcMar>
              <w:top w:w="0" w:type="dxa"/>
              <w:start w:w="80" w:type="dxa"/>
              <w:bottom w:w="80" w:type="dxa"/>
              <w:end w:w="0" w:type="dxa"/>
            </w:tcMar>
          </w:tcPr>
          <w:p>
            <w:pPr>
              <w:jc w:val="right"/>
            </w:pPr>
            <w:r>
              <w:rPr>
                <w:b/>
                <w:color w:val="2E668B"/>
                <w:sz w:val="18"/>
              </w:rPr>
              <w:t>MANDATSAUFNAHME</w:t>
            </w:r>
          </w:p>
        </w:tc>
      </w:tr>
    </w:tbl>
    <w:p>
      <w:pPr>
        <w:spacing w:after="160"/>
        <w:pBdr>
          <w:bottom w:val="single" w:sz="10" w:space="1" w:color="2E668B"/>
        </w:pBdr>
      </w:pPr>
    </w:p>
    <w:p>
      <w:pPr>
        <w:pStyle w:val="Title"/>
      </w:pPr>
      <w:r>
        <w:t>Mandatsaufnahme Prof. Dr. Eveline Bornhorst</w:t>
      </w:r>
    </w:p>
    <w:p>
      <w:pPr>
        <w:spacing w:after="180"/>
      </w:pPr>
      <w:r>
        <w:rPr>
          <w:b/>
          <w:color w:val="2E668B"/>
        </w:rPr>
        <w:t>Berufungsverfahren W3 Maschinenelement-Konstruktion · Universität Campus Rheinbogen</w:t>
      </w:r>
    </w:p>
    <w:tbl>
      <w:tblPr>
        <w:tblW w:type="auto" w:w="0"/>
        <w:tblLayout w:type="fixed"/>
        <w:tblLook w:firstColumn="1" w:firstRow="1" w:lastColumn="0" w:lastRow="0" w:noHBand="0" w:noVBand="1" w:val="04A0"/>
      </w:tblPr>
      <w:tblGrid>
        <w:gridCol w:w="2268"/>
        <w:gridCol w:w="7200"/>
      </w:tblGrid>
      <w:tr>
        <w:tc>
          <w:tcPr>
            <w:tcW w:type="dxa" w:w="2268"/>
            <w:shd w:fill="EAF1F5"/>
            <w:tcMar>
              <w:top w:w="90" w:type="dxa"/>
              <w:start w:w="90" w:type="dxa"/>
              <w:bottom w:w="90" w:type="dxa"/>
              <w:end w:w="90" w:type="dxa"/>
            </w:tcMar>
            <w:vAlign w:val="center"/>
          </w:tcPr>
          <w:p>
            <w:pPr>
              <w:spacing w:after="0"/>
            </w:pPr>
            <w:r>
              <w:rPr>
                <w:b/>
                <w:sz w:val="18"/>
              </w:rPr>
              <w:t>Aufgenommen</w:t>
            </w:r>
          </w:p>
        </w:tc>
        <w:tc>
          <w:tcPr>
            <w:tcW w:type="dxa" w:w="7200"/>
            <w:tcMar>
              <w:top w:w="90" w:type="dxa"/>
              <w:start w:w="90" w:type="dxa"/>
              <w:bottom w:w="90" w:type="dxa"/>
              <w:end w:w="90" w:type="dxa"/>
            </w:tcMar>
            <w:vAlign w:val="center"/>
          </w:tcPr>
          <w:p>
            <w:pPr>
              <w:spacing w:after="0"/>
            </w:pPr>
            <w:r>
              <w:rPr>
                <w:sz w:val="18"/>
              </w:rPr>
              <w:t>28. Mai 2026, 09:20 Uhr, Telefon und Datenraum</w:t>
            </w:r>
          </w:p>
        </w:tc>
      </w:tr>
      <w:tr>
        <w:tc>
          <w:tcPr>
            <w:tcW w:type="dxa" w:w="2268"/>
            <w:shd w:fill="EAF1F5"/>
            <w:tcMar>
              <w:top w:w="90" w:type="dxa"/>
              <w:start w:w="90" w:type="dxa"/>
              <w:bottom w:w="90" w:type="dxa"/>
              <w:end w:w="90" w:type="dxa"/>
            </w:tcMar>
            <w:vAlign w:val="center"/>
          </w:tcPr>
          <w:p>
            <w:pPr>
              <w:spacing w:after="0"/>
            </w:pPr>
            <w:r>
              <w:rPr>
                <w:b/>
                <w:sz w:val="18"/>
              </w:rPr>
              <w:t>Mandantin</w:t>
            </w:r>
          </w:p>
        </w:tc>
        <w:tc>
          <w:tcPr>
            <w:tcW w:type="dxa" w:w="7200"/>
            <w:tcMar>
              <w:top w:w="90" w:type="dxa"/>
              <w:start w:w="90" w:type="dxa"/>
              <w:bottom w:w="90" w:type="dxa"/>
              <w:end w:w="90" w:type="dxa"/>
            </w:tcMar>
            <w:vAlign w:val="center"/>
          </w:tcPr>
          <w:p>
            <w:pPr>
              <w:spacing w:after="0"/>
            </w:pPr>
            <w:r>
              <w:rPr>
                <w:sz w:val="18"/>
              </w:rPr>
              <w:t>Prof. Dr. Eveline Bornhorst, Listenplatz 2</w:t>
            </w:r>
          </w:p>
        </w:tc>
      </w:tr>
      <w:tr>
        <w:tc>
          <w:tcPr>
            <w:tcW w:type="dxa" w:w="2268"/>
            <w:shd w:fill="EAF1F5"/>
            <w:tcMar>
              <w:top w:w="90" w:type="dxa"/>
              <w:start w:w="90" w:type="dxa"/>
              <w:bottom w:w="90" w:type="dxa"/>
              <w:end w:w="90" w:type="dxa"/>
            </w:tcMar>
            <w:vAlign w:val="center"/>
          </w:tcPr>
          <w:p>
            <w:pPr>
              <w:spacing w:after="0"/>
            </w:pPr>
            <w:r>
              <w:rPr>
                <w:b/>
                <w:sz w:val="18"/>
              </w:rPr>
              <w:t>Hochschule</w:t>
            </w:r>
          </w:p>
        </w:tc>
        <w:tc>
          <w:tcPr>
            <w:tcW w:type="dxa" w:w="7200"/>
            <w:tcMar>
              <w:top w:w="90" w:type="dxa"/>
              <w:start w:w="90" w:type="dxa"/>
              <w:bottom w:w="90" w:type="dxa"/>
              <w:end w:w="90" w:type="dxa"/>
            </w:tcMar>
            <w:vAlign w:val="center"/>
          </w:tcPr>
          <w:p>
            <w:pPr>
              <w:spacing w:after="0"/>
            </w:pPr>
            <w:r>
              <w:rPr>
                <w:sz w:val="18"/>
              </w:rPr>
              <w:t>Universität Campus Rheinbogen, Universitätsstraße 1, 40225 Düsseldorf</w:t>
            </w:r>
          </w:p>
        </w:tc>
      </w:tr>
      <w:tr>
        <w:tc>
          <w:tcPr>
            <w:tcW w:type="dxa" w:w="2268"/>
            <w:shd w:fill="EAF1F5"/>
            <w:tcMar>
              <w:top w:w="90" w:type="dxa"/>
              <w:start w:w="90" w:type="dxa"/>
              <w:bottom w:w="90" w:type="dxa"/>
              <w:end w:w="90" w:type="dxa"/>
            </w:tcMar>
            <w:vAlign w:val="center"/>
          </w:tcPr>
          <w:p>
            <w:pPr>
              <w:spacing w:after="0"/>
            </w:pPr>
            <w:r>
              <w:rPr>
                <w:b/>
                <w:sz w:val="18"/>
              </w:rPr>
              <w:t>Sachbearbeitung</w:t>
            </w:r>
          </w:p>
        </w:tc>
        <w:tc>
          <w:tcPr>
            <w:tcW w:type="dxa" w:w="7200"/>
            <w:tcMar>
              <w:top w:w="90" w:type="dxa"/>
              <w:start w:w="90" w:type="dxa"/>
              <w:bottom w:w="90" w:type="dxa"/>
              <w:end w:w="90" w:type="dxa"/>
            </w:tcMar>
            <w:vAlign w:val="center"/>
          </w:tcPr>
          <w:p>
            <w:pPr>
              <w:spacing w:after="0"/>
            </w:pPr>
            <w:r>
              <w:rPr>
                <w:sz w:val="18"/>
              </w:rPr>
              <w:t>Rechtsanwalt Dr. Stefan Mendelsohn</w:t>
            </w:r>
          </w:p>
        </w:tc>
      </w:tr>
      <w:tr>
        <w:tc>
          <w:tcPr>
            <w:tcW w:type="dxa" w:w="2268"/>
            <w:shd w:fill="EAF1F5"/>
            <w:tcMar>
              <w:top w:w="90" w:type="dxa"/>
              <w:start w:w="90" w:type="dxa"/>
              <w:bottom w:w="90" w:type="dxa"/>
              <w:end w:w="90" w:type="dxa"/>
            </w:tcMar>
            <w:vAlign w:val="center"/>
          </w:tcPr>
          <w:p>
            <w:pPr>
              <w:spacing w:after="0"/>
            </w:pPr>
            <w:r>
              <w:rPr>
                <w:b/>
                <w:sz w:val="18"/>
              </w:rPr>
              <w:t>Nächster Termin</w:t>
            </w:r>
          </w:p>
        </w:tc>
        <w:tc>
          <w:tcPr>
            <w:tcW w:type="dxa" w:w="7200"/>
            <w:tcMar>
              <w:top w:w="90" w:type="dxa"/>
              <w:start w:w="90" w:type="dxa"/>
              <w:bottom w:w="90" w:type="dxa"/>
              <w:end w:w="90" w:type="dxa"/>
            </w:tcMar>
            <w:vAlign w:val="center"/>
          </w:tcPr>
          <w:p>
            <w:pPr>
              <w:spacing w:after="0"/>
            </w:pPr>
            <w:r>
              <w:rPr>
                <w:sz w:val="18"/>
              </w:rPr>
              <w:t>Senatssitzung 10. Juni 2026</w:t>
            </w:r>
          </w:p>
        </w:tc>
      </w:tr>
    </w:tbl>
    <w:p>
      <w:pPr>
        <w:spacing w:after="20"/>
      </w:pPr>
    </w:p>
    <w:p>
      <w:pPr>
        <w:pStyle w:val="Heading1"/>
      </w:pPr>
      <w:r>
        <w:t>1. Anlass</w:t>
      </w:r>
    </w:p>
    <w:p>
      <w:pPr>
        <w:widowControl/>
      </w:pPr>
      <w:r>
        <w:t>Die Mandantin erhielt über ein Kommissionsmitglied den Hinweis, dass die auf Listenplatz 1 gesetzte Bewerberin Prof. Dr. Helene Tannwald mit einem Kommissionsmitglied einen noch nicht bewilligten Drittmittelantrag vorbereitet habe. Im Auswahlvermerk wird diese Zusammenarbeit erwähnt, aber nicht als eigener Tagesordnungspunkt dokumentiert.</w:t>
      </w:r>
    </w:p>
    <w:p>
      <w:pPr>
        <w:widowControl/>
      </w:pPr>
      <w:r>
        <w:t>Parallel soll der Senat eine Änderung der Grundordnung beschließen, die digitale Umlaufbeschlüsse in Berufungssachen ermöglicht. Das Ministerium fragte am 26. Mai nach Satzungskompetenz, Protokollierung und Bekanntmachung. Die Mandantin möchte zunächst Aktenstand, Verfahrensschritte und mögliche Auswirkungen auf ihre Bewerbung verstehen.</w:t>
      </w:r>
    </w:p>
    <w:p>
      <w:pPr>
        <w:pStyle w:val="Heading1"/>
      </w:pPr>
      <w:r>
        <w:t>2. Unterlagen und Lücken</w:t>
      </w:r>
    </w:p>
    <w:tbl>
      <w:tblPr>
        <w:tblStyle w:val="TableGrid"/>
        <w:tblW w:type="auto" w:w="0"/>
        <w:tblLayout w:type="fixed"/>
        <w:tblLook w:firstColumn="1" w:firstRow="1" w:lastColumn="0" w:lastRow="0" w:noHBand="0" w:noVBand="1" w:val="04A0"/>
      </w:tblPr>
      <w:tblGrid>
        <w:gridCol w:w="3061"/>
        <w:gridCol w:w="3288"/>
        <w:gridCol w:w="3288"/>
      </w:tblGrid>
      <w:tr>
        <w:tc>
          <w:tcPr>
            <w:tcW w:type="dxa" w:w="3194"/>
            <w:shd w:fill="17324D"/>
            <w:tcMar>
              <w:top w:w="90" w:type="dxa"/>
              <w:start w:w="90" w:type="dxa"/>
              <w:bottom w:w="90" w:type="dxa"/>
              <w:end w:w="90" w:type="dxa"/>
            </w:tcMar>
          </w:tcPr>
          <w:p>
            <w:r>
              <w:rPr>
                <w:b/>
                <w:color w:val="FFFFFF"/>
                <w:sz w:val="17"/>
              </w:rPr>
              <w:t>Unterlage</w:t>
            </w:r>
          </w:p>
        </w:tc>
        <w:tc>
          <w:tcPr>
            <w:tcW w:type="dxa" w:w="3194"/>
            <w:shd w:fill="17324D"/>
            <w:tcMar>
              <w:top w:w="90" w:type="dxa"/>
              <w:start w:w="90" w:type="dxa"/>
              <w:bottom w:w="90" w:type="dxa"/>
              <w:end w:w="90" w:type="dxa"/>
            </w:tcMar>
          </w:tcPr>
          <w:p>
            <w:r>
              <w:rPr>
                <w:b/>
                <w:color w:val="FFFFFF"/>
                <w:sz w:val="17"/>
              </w:rPr>
              <w:t>Vorhanden</w:t>
            </w:r>
          </w:p>
        </w:tc>
        <w:tc>
          <w:tcPr>
            <w:tcW w:type="dxa" w:w="3194"/>
            <w:shd w:fill="17324D"/>
            <w:tcMar>
              <w:top w:w="90" w:type="dxa"/>
              <w:start w:w="90" w:type="dxa"/>
              <w:bottom w:w="90" w:type="dxa"/>
              <w:end w:w="90" w:type="dxa"/>
            </w:tcMar>
          </w:tcPr>
          <w:p>
            <w:r>
              <w:rPr>
                <w:b/>
                <w:color w:val="FFFFFF"/>
                <w:sz w:val="17"/>
              </w:rPr>
              <w:t>Fehlt</w:t>
            </w:r>
          </w:p>
        </w:tc>
      </w:tr>
      <w:tr>
        <w:tc>
          <w:tcPr>
            <w:tcW w:type="dxa" w:w="3061"/>
            <w:tcMar>
              <w:top w:w="90" w:type="dxa"/>
              <w:start w:w="90" w:type="dxa"/>
              <w:bottom w:w="90" w:type="dxa"/>
              <w:end w:w="90" w:type="dxa"/>
            </w:tcMar>
            <w:vAlign w:val="top"/>
          </w:tcPr>
          <w:p>
            <w:pPr>
              <w:spacing w:after="0"/>
            </w:pPr>
            <w:r>
              <w:rPr>
                <w:sz w:val="16"/>
              </w:rPr>
              <w:t>Stellenausschreibung und Bewerbung</w:t>
            </w:r>
          </w:p>
        </w:tc>
        <w:tc>
          <w:tcPr>
            <w:tcW w:type="dxa" w:w="3288"/>
            <w:tcMar>
              <w:top w:w="90" w:type="dxa"/>
              <w:start w:w="90" w:type="dxa"/>
              <w:bottom w:w="90" w:type="dxa"/>
              <w:end w:w="90" w:type="dxa"/>
            </w:tcMar>
            <w:vAlign w:val="top"/>
          </w:tcPr>
          <w:p>
            <w:pPr>
              <w:spacing w:after="0"/>
            </w:pPr>
            <w:r>
              <w:rPr>
                <w:sz w:val="16"/>
              </w:rPr>
              <w:t>Ausschreibung und eigene Bewerbung</w:t>
            </w:r>
          </w:p>
        </w:tc>
        <w:tc>
          <w:tcPr>
            <w:tcW w:type="dxa" w:w="3288"/>
            <w:tcMar>
              <w:top w:w="90" w:type="dxa"/>
              <w:start w:w="90" w:type="dxa"/>
              <w:bottom w:w="90" w:type="dxa"/>
              <w:end w:w="90" w:type="dxa"/>
            </w:tcMar>
            <w:vAlign w:val="top"/>
          </w:tcPr>
          <w:p>
            <w:pPr>
              <w:spacing w:after="0"/>
            </w:pPr>
            <w:r>
              <w:rPr>
                <w:sz w:val="16"/>
              </w:rPr>
              <w:t>Bewerbungen der Mitbewerber nur teilweise einsehbar</w:t>
            </w:r>
          </w:p>
        </w:tc>
      </w:tr>
      <w:tr>
        <w:tc>
          <w:tcPr>
            <w:tcW w:type="dxa" w:w="3061"/>
            <w:tcMar>
              <w:top w:w="90" w:type="dxa"/>
              <w:start w:w="90" w:type="dxa"/>
              <w:bottom w:w="90" w:type="dxa"/>
              <w:end w:w="90" w:type="dxa"/>
            </w:tcMar>
            <w:vAlign w:val="top"/>
            <w:shd w:fill="F5F7F8"/>
          </w:tcPr>
          <w:p>
            <w:pPr>
              <w:spacing w:after="0"/>
            </w:pPr>
            <w:r>
              <w:rPr>
                <w:sz w:val="16"/>
              </w:rPr>
              <w:t>Kommissionsunterlagen</w:t>
            </w:r>
          </w:p>
        </w:tc>
        <w:tc>
          <w:tcPr>
            <w:tcW w:type="dxa" w:w="3288"/>
            <w:tcMar>
              <w:top w:w="90" w:type="dxa"/>
              <w:start w:w="90" w:type="dxa"/>
              <w:bottom w:w="90" w:type="dxa"/>
              <w:end w:w="90" w:type="dxa"/>
            </w:tcMar>
            <w:vAlign w:val="top"/>
            <w:shd w:fill="F5F7F8"/>
          </w:tcPr>
          <w:p>
            <w:pPr>
              <w:spacing w:after="0"/>
            </w:pPr>
            <w:r>
              <w:rPr>
                <w:sz w:val="16"/>
              </w:rPr>
              <w:t>Auswahlvermerk und Beteiligtenliste</w:t>
            </w:r>
          </w:p>
        </w:tc>
        <w:tc>
          <w:tcPr>
            <w:tcW w:type="dxa" w:w="3288"/>
            <w:tcMar>
              <w:top w:w="90" w:type="dxa"/>
              <w:start w:w="90" w:type="dxa"/>
              <w:bottom w:w="90" w:type="dxa"/>
              <w:end w:w="90" w:type="dxa"/>
            </w:tcMar>
            <w:vAlign w:val="top"/>
            <w:shd w:fill="F5F7F8"/>
          </w:tcPr>
          <w:p>
            <w:pPr>
              <w:spacing w:after="0"/>
            </w:pPr>
            <w:r>
              <w:rPr>
                <w:sz w:val="16"/>
              </w:rPr>
              <w:t>Einladungen, Protokolle, Abstimmung und Befangenheitsvermerke</w:t>
            </w:r>
          </w:p>
        </w:tc>
      </w:tr>
      <w:tr>
        <w:tc>
          <w:tcPr>
            <w:tcW w:type="dxa" w:w="3061"/>
            <w:tcMar>
              <w:top w:w="90" w:type="dxa"/>
              <w:start w:w="90" w:type="dxa"/>
              <w:bottom w:w="90" w:type="dxa"/>
              <w:end w:w="90" w:type="dxa"/>
            </w:tcMar>
            <w:vAlign w:val="top"/>
          </w:tcPr>
          <w:p>
            <w:pPr>
              <w:spacing w:after="0"/>
            </w:pPr>
            <w:r>
              <w:rPr>
                <w:sz w:val="16"/>
              </w:rPr>
              <w:t>Gleichstellung und Schwerbehindertenvertretung</w:t>
            </w:r>
          </w:p>
        </w:tc>
        <w:tc>
          <w:tcPr>
            <w:tcW w:type="dxa" w:w="3288"/>
            <w:tcMar>
              <w:top w:w="90" w:type="dxa"/>
              <w:start w:w="90" w:type="dxa"/>
              <w:bottom w:w="90" w:type="dxa"/>
              <w:end w:w="90" w:type="dxa"/>
            </w:tcMar>
            <w:vAlign w:val="top"/>
          </w:tcPr>
          <w:p>
            <w:pPr>
              <w:spacing w:after="0"/>
            </w:pPr>
            <w:r>
              <w:rPr>
                <w:sz w:val="16"/>
              </w:rPr>
              <w:t>Hinweis im Auswahlvermerk</w:t>
            </w:r>
          </w:p>
        </w:tc>
        <w:tc>
          <w:tcPr>
            <w:tcW w:type="dxa" w:w="3288"/>
            <w:tcMar>
              <w:top w:w="90" w:type="dxa"/>
              <w:start w:w="90" w:type="dxa"/>
              <w:bottom w:w="90" w:type="dxa"/>
              <w:end w:w="90" w:type="dxa"/>
            </w:tcMar>
            <w:vAlign w:val="top"/>
          </w:tcPr>
          <w:p>
            <w:pPr>
              <w:spacing w:after="0"/>
            </w:pPr>
            <w:r>
              <w:rPr>
                <w:sz w:val="16"/>
              </w:rPr>
              <w:t>Vollständige Voten und Zeitpunkte</w:t>
            </w:r>
          </w:p>
        </w:tc>
      </w:tr>
      <w:tr>
        <w:tc>
          <w:tcPr>
            <w:tcW w:type="dxa" w:w="3061"/>
            <w:tcMar>
              <w:top w:w="90" w:type="dxa"/>
              <w:start w:w="90" w:type="dxa"/>
              <w:bottom w:w="90" w:type="dxa"/>
              <w:end w:w="90" w:type="dxa"/>
            </w:tcMar>
            <w:vAlign w:val="top"/>
            <w:shd w:fill="F5F7F8"/>
          </w:tcPr>
          <w:p>
            <w:pPr>
              <w:spacing w:after="0"/>
            </w:pPr>
            <w:r>
              <w:rPr>
                <w:sz w:val="16"/>
              </w:rPr>
              <w:t>Drittmittelbezug</w:t>
            </w:r>
          </w:p>
        </w:tc>
        <w:tc>
          <w:tcPr>
            <w:tcW w:type="dxa" w:w="3288"/>
            <w:tcMar>
              <w:top w:w="90" w:type="dxa"/>
              <w:start w:w="90" w:type="dxa"/>
              <w:bottom w:w="90" w:type="dxa"/>
              <w:end w:w="90" w:type="dxa"/>
            </w:tcMar>
            <w:vAlign w:val="top"/>
            <w:shd w:fill="F5F7F8"/>
          </w:tcPr>
          <w:p>
            <w:pPr>
              <w:spacing w:after="0"/>
            </w:pPr>
            <w:r>
              <w:rPr>
                <w:sz w:val="16"/>
              </w:rPr>
              <w:t>Vertragsauszug und Chatnotiz</w:t>
            </w:r>
          </w:p>
        </w:tc>
        <w:tc>
          <w:tcPr>
            <w:tcW w:type="dxa" w:w="3288"/>
            <w:tcMar>
              <w:top w:w="90" w:type="dxa"/>
              <w:start w:w="90" w:type="dxa"/>
              <w:bottom w:w="90" w:type="dxa"/>
              <w:end w:w="90" w:type="dxa"/>
            </w:tcMar>
            <w:vAlign w:val="top"/>
            <w:shd w:fill="F5F7F8"/>
          </w:tcPr>
          <w:p>
            <w:pPr>
              <w:spacing w:after="0"/>
            </w:pPr>
            <w:r>
              <w:rPr>
                <w:sz w:val="16"/>
              </w:rPr>
              <w:t>Projektantrag, Rollen, Bewilligungsstand und Offenlegung</w:t>
            </w:r>
          </w:p>
        </w:tc>
      </w:tr>
      <w:tr>
        <w:tc>
          <w:tcPr>
            <w:tcW w:type="dxa" w:w="3061"/>
            <w:tcMar>
              <w:top w:w="90" w:type="dxa"/>
              <w:start w:w="90" w:type="dxa"/>
              <w:bottom w:w="90" w:type="dxa"/>
              <w:end w:w="90" w:type="dxa"/>
            </w:tcMar>
            <w:vAlign w:val="top"/>
          </w:tcPr>
          <w:p>
            <w:pPr>
              <w:spacing w:after="0"/>
            </w:pPr>
            <w:r>
              <w:rPr>
                <w:sz w:val="16"/>
              </w:rPr>
              <w:t>Senatsverfahren</w:t>
            </w:r>
          </w:p>
        </w:tc>
        <w:tc>
          <w:tcPr>
            <w:tcW w:type="dxa" w:w="3288"/>
            <w:tcMar>
              <w:top w:w="90" w:type="dxa"/>
              <w:start w:w="90" w:type="dxa"/>
              <w:bottom w:w="90" w:type="dxa"/>
              <w:end w:w="90" w:type="dxa"/>
            </w:tcMar>
            <w:vAlign w:val="top"/>
          </w:tcPr>
          <w:p>
            <w:pPr>
              <w:spacing w:after="0"/>
            </w:pPr>
            <w:r>
              <w:rPr>
                <w:sz w:val="16"/>
              </w:rPr>
              <w:t>Vorlage zur Grundordnung</w:t>
            </w:r>
          </w:p>
        </w:tc>
        <w:tc>
          <w:tcPr>
            <w:tcW w:type="dxa" w:w="3288"/>
            <w:tcMar>
              <w:top w:w="90" w:type="dxa"/>
              <w:start w:w="90" w:type="dxa"/>
              <w:bottom w:w="90" w:type="dxa"/>
              <w:end w:w="90" w:type="dxa"/>
            </w:tcMar>
            <w:vAlign w:val="top"/>
          </w:tcPr>
          <w:p>
            <w:pPr>
              <w:spacing w:after="0"/>
            </w:pPr>
            <w:r>
              <w:rPr>
                <w:sz w:val="16"/>
              </w:rPr>
              <w:t>Tagesordnung, aktuelle Grundordnung, Bekanntmachungsnachweis</w:t>
            </w:r>
          </w:p>
        </w:tc>
      </w:tr>
    </w:tbl>
    <w:p>
      <w:pPr>
        <w:spacing w:after="20"/>
      </w:pPr>
    </w:p>
    <w:p>
      <w:pPr>
        <w:pStyle w:val="Heading1"/>
      </w:pPr>
      <w:r>
        <w:t>3. Arbeitsauftrag</w:t>
      </w:r>
    </w:p>
    <w:p>
      <w:pPr>
        <w:widowControl/>
      </w:pPr>
      <w:r>
        <w:t>Bis zum 2. Juni wird ein chronologisches Aktenregister erstellt. Die Mandantin reicht ihre gesamte Korrespondenz und den Zeitpunkt der Kenntnis vom Drittmittelbezug nach. Die Kanzlei bereitet ein enges Akteneinsichtsgesuch, eine Fristenkontrolle und Fragen an Senat sowie Ministerium vor. Keine Bewertung erfolgt auf Grundlage des informellen Chats allein.</w:t>
      </w:r>
    </w:p>
    <w:p>
      <w:pPr>
        <w:keepLines/>
        <w:spacing w:before="120"/>
      </w:pPr>
      <w:r>
        <w:rPr>
          <w:b/>
        </w:rPr>
        <w:t>Dr. Stefan Mendelsohn · Rechtsanwalt</w:t>
      </w:r>
    </w:p>
    <w:sectPr w:rsidR="00FC693F" w:rsidRPr="0006063C" w:rsidSect="00034616">
      <w:footerReference w:type="default" r:id="rId9"/>
      <w:pgSz w:w="11906" w:h="16838"/>
      <w:pgMar w:top="1247" w:right="1134"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636B"/>
        <w:sz w:val="16"/>
      </w:rPr>
      <w:t xml:space="preserve">MENDELSOHN RECHTSANWÄLTE · SM-207/26-HS · Seite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66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