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2026-INS-7594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Forderungsanmeldung Vermieter</w:t>
      </w:r>
    </w:p>
    <w:p>
      <w:pPr>
        <w:spacing w:line="259" w:lineRule="auto" w:after="60"/>
        <w:jc w:val="both"/>
      </w:pPr>
      <w:r>
        <w:t>Der Vermieter meldet Rückstände aus April bis Juni, Nutzungsentschädigung nach Verfahrenseröffnung und Schadenspositionen aus Rückbau an. Er beansprucht zusätzlich Zugriff auf die Mietkaution.</w:t>
      </w:r>
    </w:p>
    <w:p>
      <w:pPr>
        <w:spacing w:line="259" w:lineRule="auto" w:after="60"/>
        <w:jc w:val="both"/>
      </w:pPr>
      <w:r>
        <w:t>Die Anmeldung vermischt Insolvenzforderung und mögliche Masseforderung.</w:t>
      </w:r>
    </w:p>
    <w:p>
      <w:pPr>
        <w:pStyle w:val="Heading1"/>
      </w:pPr>
      <w:r>
        <w:t>Aufgliederung der Anmeldung</w:t>
      </w:r>
    </w:p>
    <w:p>
      <w:pPr>
        <w:pStyle w:val="Heading2"/>
      </w:pPr>
      <w:r>
        <w:t>Gläubigerin und Forderungen</w:t>
      </w:r>
    </w:p>
    <w:p>
      <w:r>
        <w:t>WVB Grundbesitz Charlottenburg GmbH &amp; Co. KG, Kantstraße 88–90, 10627 Berlin, meldet zur Tabelle unter dem gerichtlichen Aktenzeichen 36g IN 892/26 insgesamt 63540,00 EUR an. Unterzeichnet ist die Anmeldung von Rechtsanwältin Dr. Karen Lindenhof am 18. Juni 2026.</w:t>
      </w:r>
    </w:p>
    <w:p>
      <w:r>
        <w:t>Teilpositionen sind 6140,00 EUR Betriebskostennachzahlung 2024, 21600,00 EUR Nutzungsentschädigung Mai 2026, 21600,00 EUR Nutzungsentschädigung Juni 2026 und 14200,00 EUR behauptete Rückbau- und Instandsetzungskosten. Fälligkeit, Zeitraum, Verfahrensbezug und Sicherung werden für jede Position getrennt angegeben.</w:t>
      </w:r>
    </w:p>
    <w:p>
      <w:pPr>
        <w:pStyle w:val="Heading2"/>
      </w:pPr>
      <w:r>
        <w:t>Anlagen und Sicherung</w:t>
      </w:r>
    </w:p>
    <w:p>
      <w:r>
        <w:t>Beigefügt werden Mietvertrag vom 14. März 2022, Nachträge 1 bis 3, Mietkonto, Betriebskostenabrechnung, Rückgabeprotokoll und Kostenangebot. Als Sicherheit wird das verpfändete Kautionskonto 1044-887321 mit gemeldetem Guthaben von 64400,00 EUR bezeichnet; Auskehr und Verrechnung sind noch nicht als abgeschlossen dargestellt.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