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Lindenhof und Partner mbB | Aktenzeichen intern 2026-INS-2041</w:t>
      </w:r>
    </w:p>
    <w:p>
      <w:pPr>
        <w:pStyle w:val="Heading1"/>
        <w:spacing w:before="120" w:after="60" w:line="259" w:lineRule="auto"/>
      </w:pPr>
      <w:r>
        <w:rPr>
          <w:rFonts w:ascii="Times New Roman" w:hAnsi="Times New Roman"/>
          <w:b/>
          <w:sz w:val="22"/>
        </w:rPr>
        <w:t>Unterkunde Deposit Rückforderung</w:t>
      </w:r>
    </w:p>
    <w:p>
      <w:pPr>
        <w:spacing w:line="259" w:lineRule="auto" w:after="60"/>
        <w:jc w:val="both"/>
      </w:pPr>
      <w:r>
        <w:t>Ein Unterkunde verlangt Rückzahlung von 8.400 EUR Deposit. Er behauptet, die Zahlung sei treuhänderisch gehalten worden.</w:t>
      </w:r>
    </w:p>
    <w:p>
      <w:pPr>
        <w:spacing w:line="259" w:lineRule="auto" w:after="60"/>
        <w:jc w:val="both"/>
      </w:pPr>
      <w:r>
        <w:t>Im Vertrag steht lediglich Sicherheitsleistung; ein Treuhandkonto ist nicht genannt.</w:t>
      </w:r>
    </w:p>
    <w:p>
      <w:pPr>
        <w:pStyle w:val="Heading1"/>
      </w:pPr>
      <w:r>
        <w:t>Vertrags- und Zahlungsbezug</w:t>
      </w:r>
    </w:p>
    <w:p>
      <w:pPr>
        <w:pStyle w:val="Heading2"/>
      </w:pPr>
      <w:r>
        <w:t>Unterkundin</w:t>
      </w:r>
    </w:p>
    <w:p>
      <w:r>
        <w:t>Deposit Coworking Spreebogen UG, Alt-Moabit 82, 10555 Berlin, verlangt 8400,00 EUR zurück. Grundlage ist der Nutzungsvertrag FLEX-2025-119 vom 3. September 2025 für sechs Arbeitsplätze und einen Besprechungsraum im ersten Obergeschoss.</w:t>
      </w:r>
    </w:p>
    <w:p>
      <w:r>
        <w:t>Die Zahlung erfolgte am 5. September 2025 auf das allgemeine Geschäftskonto der Flexhof Berlin GmbH mit Verwendungszweck „Sicherheit FLEX-2025-119“. Der Vertrag verwendet den Begriff Sicherheitsleistung, nennt aber weder Treuhandkonto noch konkrete Bankverbindung. Kontoauszug, Vertrag und Kündigungsbestätigung sind beigefügt.</w:t>
      </w:r>
    </w:p>
    <w:p>
      <w:pPr>
        <w:pStyle w:val="Heading2"/>
      </w:pPr>
      <w:r>
        <w:t>Korrespondenz</w:t>
      </w:r>
    </w:p>
    <w:p>
      <w:r>
        <w:t>Geschäftsführerin Maren Ullrich meldete die Forderung am 25. Juni 2026 per E-Mail bei der Verwalterin an und bat um Bestätigung bis 4. Juli. Sie weist darauf hin, dass zwei Monatsentgelte für April und Mai offen seien; die Flexhof-Buchhaltung führt demgegenüber eine Gutschrift wegen Ausfall der Klimaanlage.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