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sz w:val="22"/>
        </w:rPr>
        <w:t>Kanzlei Hagemann &amp; Westarp | Markenrechtliche Mandatsakte | Aktenzeichen intern 2026-MK-4306</w:t>
      </w:r>
    </w:p>
    <w:p>
      <w:pPr>
        <w:pStyle w:val="Heading1"/>
      </w:pPr>
      <w:r>
        <w:t>Mandantenauftrag Widerspruch</w:t>
      </w:r>
    </w:p>
    <w:p>
      <w:pPr>
        <w:jc w:val="both"/>
      </w:pPr>
      <w:r>
        <w:t>Kapselwerk GmbH will Widerspruch einlegen, aber zunächst die Vergleichschance im Cooling-off nutzen. Ziel ist Ausschluss von Schuhen und Onlinehandel mit Sneakern.</w:t>
      </w:r>
    </w:p>
    <w:p>
      <w:pPr>
        <w:jc w:val="both"/>
      </w:pPr>
      <w:r>
        <w:t>Das Budget ist auf 9.500 EUR für erste Instanz begrenzt.</w:t>
      </w:r>
    </w:p>
    <w:p>
      <w:pPr>
        <w:pStyle w:val="Heading1"/>
      </w:pPr>
      <w:r>
        <w:t>Mandats- und Produktangaben</w:t>
      </w:r>
    </w:p>
    <w:p>
      <w:pPr>
        <w:pStyle w:val="Heading2"/>
      </w:pPr>
      <w:r>
        <w:t>Auftrag</w:t>
      </w:r>
    </w:p>
    <w:p>
      <w:r>
        <w:t>SneakerKapsel GmbH, Große Bleichen 21, 20354 Hamburg, beauftragt die Kanzlei Mertens IP PartG mbB mit der Prüfung eines Widerspruchs gegen EUTM 019188642. Ansprechpartner ist Geschäftsführer Nils Cordsen; Marken- und Kampagnenunterlagen verwaltet Sophie Brandt, Telefon 040 411 28 314.</w:t>
      </w:r>
    </w:p>
    <w:p>
      <w:r>
        <w:t>Die Mandantin beruft sich auf die deutsche Wort-/Bildmarke KAPSEL 42, Registernummer 302021118744, Anmeldetag 8. März 2021, sowie auf eine seit 2021 benutzte Wortkennzeichnung. Registerauszug, Rechnungen, Kampagnenordner und Händlerlisten sollen bis 29. Juni vollständig übergeben werden.</w:t>
      </w:r>
    </w:p>
    <w:p>
      <w:pPr>
        <w:pStyle w:val="Heading2"/>
      </w:pPr>
      <w:r>
        <w:t>Freigaben</w:t>
      </w:r>
    </w:p>
    <w:p>
      <w:r>
        <w:t>Der Auftrag umfasst Kollisionsprüfung, Benutzungsaufbereitung, Widerspruchsschrift und Verhandlungen in einer möglichen Cooling-off-Phase. Vergleich, Warenbeschränkung oder Kostenobergrenze bedürfen einer gesonderten Geschäftsführungsfreigabe.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</w:rPr>
      <w:t>Kanzlei Hagemann &amp; Westarp | Marken- und Kennzeichenrecht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