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sz w:val="22"/>
        </w:rPr>
        <w:t>Kanzlei Hagemann &amp; Westarp | Markenrechtliche Mandatsakte | Aktenzeichen intern 2026-MK-1305</w:t>
      </w:r>
    </w:p>
    <w:p>
      <w:pPr>
        <w:pStyle w:val="Heading1"/>
      </w:pPr>
      <w:r>
        <w:t>Widerspruchsbegründung Arbeitsfassung</w:t>
      </w:r>
    </w:p>
    <w:p>
      <w:pPr>
        <w:jc w:val="both"/>
      </w:pPr>
      <w:r>
        <w:t>Die Begründung trennt Warenidentität, Zeichenähnlichkeit, Kennzeichnungskraft, Benutzungsnachweis und Bekanntheitsschutz. Sie enthält noch keine fertige Anlagenliste.</w:t>
      </w:r>
    </w:p>
    <w:p>
      <w:pPr>
        <w:jc w:val="both"/>
      </w:pPr>
      <w:r>
        <w:t>Die Argumentation vermeidet Überdehnung: Art. 8 Abs. 5 UMV wird nur hilfsweise und belegorientiert geführt.</w:t>
      </w:r>
    </w:p>
    <w:p>
      <w:pPr>
        <w:pStyle w:val="Heading1"/>
      </w:pPr>
      <w:r>
        <w:t>Tatsachen- und Anlagenfundstellen</w:t>
      </w:r>
    </w:p>
    <w:p>
      <w:pPr>
        <w:pStyle w:val="Heading2"/>
      </w:pPr>
      <w:r>
        <w:t>Älteres Zeichen</w:t>
      </w:r>
    </w:p>
    <w:p>
      <w:r>
        <w:t>Die Arbeitsfassung bezeichnet Inhaberin, Registernummer, Priorität und Waren der älteren Marke. Der Benutzungsabschnitt verweist für jeden Zeitraum auf konkrete Rechnungen, Kampagnen und Produktabbildungen; Umsätze werden nach Mitgliedstaat, Jahr und Produktgruppe aufgeschlüsselt.</w:t>
      </w:r>
    </w:p>
    <w:p>
      <w:r>
        <w:t>Beim Zeichenvergleich werden KAPSEL, CAPSULA und die Zahl 42 in Schriftbild, Klang und Bedeutungsanklang getrennt gegenübergestellt. Waren und Handelsdienste werden nicht pauschal, sondern anhand des Registerwortlauts zeilenweise zugeordnet.</w:t>
      </w:r>
    </w:p>
    <w:p>
      <w:pPr>
        <w:pStyle w:val="Heading2"/>
      </w:pPr>
      <w:r>
        <w:t>Anlagenstand</w:t>
      </w:r>
    </w:p>
    <w:p>
      <w:r>
        <w:t>Vorgesehen sind Registerauszug A1, Rechnungsindex A2, zwölf Rechnungsstichproben A3 bis A14, Kampagnenbelege A15 bis A20 und Händlerbestätigungen A21 bis A23. Fehlende Übersetzungen, schlecht lesbare Bilddateien und Belege ohne Datumsbezug sind in der Freigabeliste markiert.</w:t>
      </w:r>
    </w:p>
    <w:sectPr w:rsidR="00FC693F" w:rsidRPr="0006063C" w:rsidSect="00034616">
      <w:headerReference w:type="default" r:id="rId9"/>
      <w:footerReference w:type="default" r:id="rId10"/>
      <w:pgSz w:w="11906" w:h="16838"/>
      <w:pgMar w:top="1247"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Kanzlei Hagemann &amp; Westarp | Marken- und Kennzeichenrecht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