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6520"/>
        <w:gridCol w:w="2948"/>
      </w:tblGrid>
      <w:tr>
        <w:tc>
          <w:tcPr>
            <w:tcW w:type="dxa" w:w="4790"/>
            <w:tcMar>
              <w:top w:w="0" w:type="dxa"/>
              <w:start w:w="0" w:type="dxa"/>
              <w:bottom w:w="80" w:type="dxa"/>
              <w:end w:w="80" w:type="dxa"/>
            </w:tcMar>
          </w:tcPr>
          <w:p>
            <w:pPr>
              <w:spacing w:after="20"/>
            </w:pPr>
            <w:r>
              <w:rPr>
                <w:b/>
                <w:color w:val="17324D"/>
                <w:sz w:val="24"/>
              </w:rPr>
              <w:t>BRENNECKE · WENSTEDT RECHTSANWÄLTE</w:t>
            </w:r>
          </w:p>
          <w:p>
            <w:pPr>
              <w:spacing w:after="0"/>
            </w:pPr>
            <w:r>
              <w:rPr>
                <w:color w:val="59636B"/>
                <w:sz w:val="16"/>
              </w:rPr>
              <w:t>Kaiserswerther Straße 183 · 40474 Düsseldorf · Telefon 0211 879 14 0 · cyber@bw-recht.de</w:t>
            </w:r>
          </w:p>
          <w:p>
            <w:pPr>
              <w:spacing w:after="0"/>
            </w:pPr>
            <w:r>
              <w:rPr>
                <w:color w:val="59636B"/>
                <w:sz w:val="16"/>
              </w:rPr>
              <w:t>Partnerschaftsregister AG Essen PR 5207 · Berufshaftpflicht Rheinland Versicherung AG</w:t>
            </w:r>
          </w:p>
        </w:tc>
        <w:tc>
          <w:tcPr>
            <w:tcW w:type="dxa" w:w="4790"/>
            <w:tcMar>
              <w:top w:w="0" w:type="dxa"/>
              <w:start w:w="80" w:type="dxa"/>
              <w:bottom w:w="80" w:type="dxa"/>
              <w:end w:w="0" w:type="dxa"/>
            </w:tcMar>
          </w:tcPr>
          <w:p>
            <w:pPr>
              <w:jc w:val="right"/>
            </w:pPr>
            <w:r>
              <w:rPr>
                <w:b/>
                <w:color w:val="2E668B"/>
                <w:sz w:val="18"/>
              </w:rPr>
              <w:t>EREIGNIS- UND MASSNAHMENBLATT</w:t>
            </w:r>
          </w:p>
        </w:tc>
      </w:tr>
    </w:tbl>
    <w:p>
      <w:pPr>
        <w:spacing w:after="160"/>
        <w:pBdr>
          <w:bottom w:val="single" w:sz="10" w:space="1" w:color="2E668B"/>
        </w:pBdr>
      </w:pPr>
    </w:p>
    <w:p>
      <w:pPr>
        <w:pStyle w:val="Title"/>
      </w:pPr>
      <w:r>
        <w:t>Chronologie der Sicherheits- und Rolloutvorgänge</w:t>
      </w:r>
    </w:p>
    <w:p>
      <w:pPr>
        <w:spacing w:after="180"/>
      </w:pPr>
      <w:r>
        <w:rPr>
          <w:b/>
          <w:color w:val="2E668B"/>
        </w:rPr>
        <w:t>Lahnwerke Maschinenbau AG · Stand 3. Juni 2026</w:t>
      </w:r>
    </w:p>
    <w:tbl>
      <w:tblPr>
        <w:tblW w:type="auto" w:w="0"/>
        <w:tblLayout w:type="fixed"/>
        <w:tblLook w:firstColumn="1" w:firstRow="1" w:lastColumn="0" w:lastRow="0" w:noHBand="0" w:noVBand="1" w:val="04A0"/>
      </w:tblPr>
      <w:tblGrid>
        <w:gridCol w:w="2268"/>
        <w:gridCol w:w="7200"/>
      </w:tblGrid>
      <w:tr>
        <w:tc>
          <w:tcPr>
            <w:tcW w:type="dxa" w:w="2268"/>
            <w:shd w:fill="EAF1F5"/>
            <w:tcMar>
              <w:top w:w="90" w:type="dxa"/>
              <w:start w:w="90" w:type="dxa"/>
              <w:bottom w:w="90" w:type="dxa"/>
              <w:end w:w="90" w:type="dxa"/>
            </w:tcMar>
            <w:vAlign w:val="center"/>
          </w:tcPr>
          <w:p>
            <w:pPr>
              <w:spacing w:after="0"/>
            </w:pPr>
            <w:r>
              <w:rPr>
                <w:b/>
                <w:sz w:val="18"/>
              </w:rPr>
              <w:t>Datenbasis</w:t>
            </w:r>
          </w:p>
        </w:tc>
        <w:tc>
          <w:tcPr>
            <w:tcW w:type="dxa" w:w="7200"/>
            <w:tcMar>
              <w:top w:w="90" w:type="dxa"/>
              <w:start w:w="90" w:type="dxa"/>
              <w:bottom w:w="90" w:type="dxa"/>
              <w:end w:w="90" w:type="dxa"/>
            </w:tcMar>
            <w:vAlign w:val="center"/>
          </w:tcPr>
          <w:p>
            <w:pPr>
              <w:spacing w:after="0"/>
            </w:pPr>
            <w:r>
              <w:rPr>
                <w:sz w:val="18"/>
              </w:rPr>
              <w:t>SIEM-Screenshot, Restore-Protokoll, E-Mails, Assetliste, Lieferantenfragebogen</w:t>
            </w:r>
          </w:p>
        </w:tc>
      </w:tr>
      <w:tr>
        <w:tc>
          <w:tcPr>
            <w:tcW w:type="dxa" w:w="2268"/>
            <w:shd w:fill="EAF1F5"/>
            <w:tcMar>
              <w:top w:w="90" w:type="dxa"/>
              <w:start w:w="90" w:type="dxa"/>
              <w:bottom w:w="90" w:type="dxa"/>
              <w:end w:w="90" w:type="dxa"/>
            </w:tcMar>
            <w:vAlign w:val="center"/>
          </w:tcPr>
          <w:p>
            <w:pPr>
              <w:spacing w:after="0"/>
            </w:pPr>
            <w:r>
              <w:rPr>
                <w:b/>
                <w:sz w:val="18"/>
              </w:rPr>
              <w:t>Zeitbasis</w:t>
            </w:r>
          </w:p>
        </w:tc>
        <w:tc>
          <w:tcPr>
            <w:tcW w:type="dxa" w:w="7200"/>
            <w:tcMar>
              <w:top w:w="90" w:type="dxa"/>
              <w:start w:w="90" w:type="dxa"/>
              <w:bottom w:w="90" w:type="dxa"/>
              <w:end w:w="90" w:type="dxa"/>
            </w:tcMar>
            <w:vAlign w:val="center"/>
          </w:tcPr>
          <w:p>
            <w:pPr>
              <w:spacing w:after="0"/>
            </w:pPr>
            <w:r>
              <w:rPr>
                <w:sz w:val="18"/>
              </w:rPr>
              <w:t>Mitteleuropäische Sommerzeit; Systemzeiten vor Schlussbewertung abgleichen</w:t>
            </w:r>
          </w:p>
        </w:tc>
      </w:tr>
      <w:tr>
        <w:tc>
          <w:tcPr>
            <w:tcW w:type="dxa" w:w="2268"/>
            <w:shd w:fill="EAF1F5"/>
            <w:tcMar>
              <w:top w:w="90" w:type="dxa"/>
              <w:start w:w="90" w:type="dxa"/>
              <w:bottom w:w="90" w:type="dxa"/>
              <w:end w:w="90" w:type="dxa"/>
            </w:tcMar>
            <w:vAlign w:val="center"/>
          </w:tcPr>
          <w:p>
            <w:pPr>
              <w:spacing w:after="0"/>
            </w:pPr>
            <w:r>
              <w:rPr>
                <w:b/>
                <w:sz w:val="18"/>
              </w:rPr>
              <w:t>Kontrolle</w:t>
            </w:r>
          </w:p>
        </w:tc>
        <w:tc>
          <w:tcPr>
            <w:tcW w:type="dxa" w:w="7200"/>
            <w:tcMar>
              <w:top w:w="90" w:type="dxa"/>
              <w:start w:w="90" w:type="dxa"/>
              <w:bottom w:w="90" w:type="dxa"/>
              <w:end w:w="90" w:type="dxa"/>
            </w:tcMar>
            <w:vAlign w:val="center"/>
          </w:tcPr>
          <w:p>
            <w:pPr>
              <w:spacing w:after="0"/>
            </w:pPr>
            <w:r>
              <w:rPr>
                <w:sz w:val="18"/>
              </w:rPr>
              <w:t>Marlene Seifert, CISO; Lisa Wenstedt, Rechtsanwältin</w:t>
            </w:r>
          </w:p>
        </w:tc>
      </w:tr>
    </w:tbl>
    <w:p>
      <w:pPr>
        <w:spacing w:after="20"/>
      </w:pPr>
    </w:p>
    <w:p>
      <w:pPr>
        <w:pStyle w:val="Heading1"/>
      </w:pPr>
      <w:r>
        <w:t>1. Ereignislinie</w:t>
      </w:r>
    </w:p>
    <w:tbl>
      <w:tblPr>
        <w:tblStyle w:val="TableGrid"/>
        <w:tblW w:type="auto" w:w="0"/>
        <w:tblLayout w:type="fixed"/>
        <w:tblLook w:firstColumn="1" w:firstRow="1" w:lastColumn="0" w:lastRow="0" w:noHBand="0" w:noVBand="1" w:val="04A0"/>
      </w:tblPr>
      <w:tblGrid>
        <w:gridCol w:w="1757"/>
        <w:gridCol w:w="2948"/>
        <w:gridCol w:w="2154"/>
        <w:gridCol w:w="2608"/>
      </w:tblGrid>
      <w:tr>
        <w:tc>
          <w:tcPr>
            <w:tcW w:type="dxa" w:w="2395"/>
            <w:shd w:fill="17324D"/>
            <w:tcMar>
              <w:top w:w="90" w:type="dxa"/>
              <w:start w:w="90" w:type="dxa"/>
              <w:bottom w:w="90" w:type="dxa"/>
              <w:end w:w="90" w:type="dxa"/>
            </w:tcMar>
          </w:tcPr>
          <w:p>
            <w:r>
              <w:rPr>
                <w:b/>
                <w:color w:val="FFFFFF"/>
                <w:sz w:val="17"/>
              </w:rPr>
              <w:t>Datum und Uhrzeit</w:t>
            </w:r>
          </w:p>
        </w:tc>
        <w:tc>
          <w:tcPr>
            <w:tcW w:type="dxa" w:w="2395"/>
            <w:shd w:fill="17324D"/>
            <w:tcMar>
              <w:top w:w="90" w:type="dxa"/>
              <w:start w:w="90" w:type="dxa"/>
              <w:bottom w:w="90" w:type="dxa"/>
              <w:end w:w="90" w:type="dxa"/>
            </w:tcMar>
          </w:tcPr>
          <w:p>
            <w:r>
              <w:rPr>
                <w:b/>
                <w:color w:val="FFFFFF"/>
                <w:sz w:val="17"/>
              </w:rPr>
              <w:t>Vorgang</w:t>
            </w:r>
          </w:p>
        </w:tc>
        <w:tc>
          <w:tcPr>
            <w:tcW w:type="dxa" w:w="2395"/>
            <w:shd w:fill="17324D"/>
            <w:tcMar>
              <w:top w:w="90" w:type="dxa"/>
              <w:start w:w="90" w:type="dxa"/>
              <w:bottom w:w="90" w:type="dxa"/>
              <w:end w:w="90" w:type="dxa"/>
            </w:tcMar>
          </w:tcPr>
          <w:p>
            <w:r>
              <w:rPr>
                <w:b/>
                <w:color w:val="FFFFFF"/>
                <w:sz w:val="17"/>
              </w:rPr>
              <w:t>Quelle</w:t>
            </w:r>
          </w:p>
        </w:tc>
        <w:tc>
          <w:tcPr>
            <w:tcW w:type="dxa" w:w="2395"/>
            <w:shd w:fill="17324D"/>
            <w:tcMar>
              <w:top w:w="90" w:type="dxa"/>
              <w:start w:w="90" w:type="dxa"/>
              <w:bottom w:w="90" w:type="dxa"/>
              <w:end w:w="90" w:type="dxa"/>
            </w:tcMar>
          </w:tcPr>
          <w:p>
            <w:r>
              <w:rPr>
                <w:b/>
                <w:color w:val="FFFFFF"/>
                <w:sz w:val="17"/>
              </w:rPr>
              <w:t>Noch zu sichern</w:t>
            </w:r>
          </w:p>
        </w:tc>
      </w:tr>
      <w:tr>
        <w:tc>
          <w:tcPr>
            <w:tcW w:type="dxa" w:w="1757"/>
            <w:tcMar>
              <w:top w:w="90" w:type="dxa"/>
              <w:start w:w="90" w:type="dxa"/>
              <w:bottom w:w="90" w:type="dxa"/>
              <w:end w:w="90" w:type="dxa"/>
            </w:tcMar>
            <w:vAlign w:val="top"/>
          </w:tcPr>
          <w:p>
            <w:pPr>
              <w:spacing w:after="0"/>
            </w:pPr>
            <w:r>
              <w:rPr>
                <w:sz w:val="16"/>
              </w:rPr>
              <w:t>3. März 2026</w:t>
            </w:r>
          </w:p>
        </w:tc>
        <w:tc>
          <w:tcPr>
            <w:tcW w:type="dxa" w:w="2948"/>
            <w:tcMar>
              <w:top w:w="90" w:type="dxa"/>
              <w:start w:w="90" w:type="dxa"/>
              <w:bottom w:w="90" w:type="dxa"/>
              <w:end w:w="90" w:type="dxa"/>
            </w:tcMar>
            <w:vAlign w:val="top"/>
          </w:tcPr>
          <w:p>
            <w:pPr>
              <w:spacing w:after="0"/>
            </w:pPr>
            <w:r>
              <w:rPr>
                <w:sz w:val="16"/>
              </w:rPr>
              <w:t>Acht Werkzeugcontainer mit AirTags im Servicefuhrpark erfasst</w:t>
            </w:r>
          </w:p>
        </w:tc>
        <w:tc>
          <w:tcPr>
            <w:tcW w:type="dxa" w:w="2154"/>
            <w:tcMar>
              <w:top w:w="90" w:type="dxa"/>
              <w:start w:w="90" w:type="dxa"/>
              <w:bottom w:w="90" w:type="dxa"/>
              <w:end w:w="90" w:type="dxa"/>
            </w:tcMar>
            <w:vAlign w:val="top"/>
          </w:tcPr>
          <w:p>
            <w:pPr>
              <w:spacing w:after="0"/>
            </w:pPr>
            <w:r>
              <w:rPr>
                <w:sz w:val="16"/>
              </w:rPr>
              <w:t>Excel-Assetliste</w:t>
            </w:r>
          </w:p>
        </w:tc>
        <w:tc>
          <w:tcPr>
            <w:tcW w:type="dxa" w:w="2608"/>
            <w:tcMar>
              <w:top w:w="90" w:type="dxa"/>
              <w:start w:w="90" w:type="dxa"/>
              <w:bottom w:w="90" w:type="dxa"/>
              <w:end w:w="90" w:type="dxa"/>
            </w:tcMar>
            <w:vAlign w:val="top"/>
          </w:tcPr>
          <w:p>
            <w:pPr>
              <w:spacing w:after="0"/>
            </w:pPr>
            <w:r>
              <w:rPr>
                <w:sz w:val="16"/>
              </w:rPr>
              <w:t>Seriennummern, Nutzerzugriffe, Ausgabebelege</w:t>
            </w:r>
          </w:p>
        </w:tc>
      </w:tr>
      <w:tr>
        <w:tc>
          <w:tcPr>
            <w:tcW w:type="dxa" w:w="1757"/>
            <w:tcMar>
              <w:top w:w="90" w:type="dxa"/>
              <w:start w:w="90" w:type="dxa"/>
              <w:bottom w:w="90" w:type="dxa"/>
              <w:end w:w="90" w:type="dxa"/>
            </w:tcMar>
            <w:vAlign w:val="top"/>
            <w:shd w:fill="F5F7F8"/>
          </w:tcPr>
          <w:p>
            <w:pPr>
              <w:spacing w:after="0"/>
            </w:pPr>
            <w:r>
              <w:rPr>
                <w:sz w:val="16"/>
              </w:rPr>
              <w:t>18. März 2026</w:t>
            </w:r>
          </w:p>
        </w:tc>
        <w:tc>
          <w:tcPr>
            <w:tcW w:type="dxa" w:w="2948"/>
            <w:tcMar>
              <w:top w:w="90" w:type="dxa"/>
              <w:start w:w="90" w:type="dxa"/>
              <w:bottom w:w="90" w:type="dxa"/>
              <w:end w:w="90" w:type="dxa"/>
            </w:tcMar>
            <w:vAlign w:val="top"/>
            <w:shd w:fill="F5F7F8"/>
          </w:tcPr>
          <w:p>
            <w:pPr>
              <w:spacing w:after="0"/>
            </w:pPr>
            <w:r>
              <w:rPr>
                <w:sz w:val="16"/>
              </w:rPr>
              <w:t>Fachbereich beantragt externe Slack-Kanäle für Stahlring und MARSEN</w:t>
            </w:r>
          </w:p>
        </w:tc>
        <w:tc>
          <w:tcPr>
            <w:tcW w:type="dxa" w:w="2154"/>
            <w:tcMar>
              <w:top w:w="90" w:type="dxa"/>
              <w:start w:w="90" w:type="dxa"/>
              <w:bottom w:w="90" w:type="dxa"/>
              <w:end w:w="90" w:type="dxa"/>
            </w:tcMar>
            <w:vAlign w:val="top"/>
            <w:shd w:fill="F5F7F8"/>
          </w:tcPr>
          <w:p>
            <w:pPr>
              <w:spacing w:after="0"/>
            </w:pPr>
            <w:r>
              <w:rPr>
                <w:sz w:val="16"/>
              </w:rPr>
              <w:t>Change-Ticket COL-441</w:t>
            </w:r>
          </w:p>
        </w:tc>
        <w:tc>
          <w:tcPr>
            <w:tcW w:type="dxa" w:w="2608"/>
            <w:tcMar>
              <w:top w:w="90" w:type="dxa"/>
              <w:start w:w="90" w:type="dxa"/>
              <w:bottom w:w="90" w:type="dxa"/>
              <w:end w:w="90" w:type="dxa"/>
            </w:tcMar>
            <w:vAlign w:val="top"/>
            <w:shd w:fill="F5F7F8"/>
          </w:tcPr>
          <w:p>
            <w:pPr>
              <w:spacing w:after="0"/>
            </w:pPr>
            <w:r>
              <w:rPr>
                <w:sz w:val="16"/>
              </w:rPr>
              <w:t>Datenklassen und Gastrollen</w:t>
            </w:r>
          </w:p>
        </w:tc>
      </w:tr>
      <w:tr>
        <w:tc>
          <w:tcPr>
            <w:tcW w:type="dxa" w:w="1757"/>
            <w:tcMar>
              <w:top w:w="90" w:type="dxa"/>
              <w:start w:w="90" w:type="dxa"/>
              <w:bottom w:w="90" w:type="dxa"/>
              <w:end w:w="90" w:type="dxa"/>
            </w:tcMar>
            <w:vAlign w:val="top"/>
          </w:tcPr>
          <w:p>
            <w:pPr>
              <w:spacing w:after="0"/>
            </w:pPr>
            <w:r>
              <w:rPr>
                <w:sz w:val="16"/>
              </w:rPr>
              <w:t>22. April 2026</w:t>
            </w:r>
          </w:p>
        </w:tc>
        <w:tc>
          <w:tcPr>
            <w:tcW w:type="dxa" w:w="2948"/>
            <w:tcMar>
              <w:top w:w="90" w:type="dxa"/>
              <w:start w:w="90" w:type="dxa"/>
              <w:bottom w:w="90" w:type="dxa"/>
              <w:end w:w="90" w:type="dxa"/>
            </w:tcMar>
            <w:vAlign w:val="top"/>
          </w:tcPr>
          <w:p>
            <w:pPr>
              <w:spacing w:after="0"/>
            </w:pPr>
            <w:r>
              <w:rPr>
                <w:sz w:val="16"/>
              </w:rPr>
              <w:t>Engineering meldet Ablauf des Code-Signing-Zertifikats zum 9. Juli</w:t>
            </w:r>
          </w:p>
        </w:tc>
        <w:tc>
          <w:tcPr>
            <w:tcW w:type="dxa" w:w="2154"/>
            <w:tcMar>
              <w:top w:w="90" w:type="dxa"/>
              <w:start w:w="90" w:type="dxa"/>
              <w:bottom w:w="90" w:type="dxa"/>
              <w:end w:w="90" w:type="dxa"/>
            </w:tcMar>
            <w:vAlign w:val="top"/>
          </w:tcPr>
          <w:p>
            <w:pPr>
              <w:spacing w:after="0"/>
            </w:pPr>
            <w:r>
              <w:rPr>
                <w:sz w:val="16"/>
              </w:rPr>
              <w:t>PKI-Notiz</w:t>
            </w:r>
          </w:p>
        </w:tc>
        <w:tc>
          <w:tcPr>
            <w:tcW w:type="dxa" w:w="2608"/>
            <w:tcMar>
              <w:top w:w="90" w:type="dxa"/>
              <w:start w:w="90" w:type="dxa"/>
              <w:bottom w:w="90" w:type="dxa"/>
              <w:end w:w="90" w:type="dxa"/>
            </w:tcMar>
            <w:vAlign w:val="top"/>
          </w:tcPr>
          <w:p>
            <w:pPr>
              <w:spacing w:after="0"/>
            </w:pPr>
            <w:r>
              <w:rPr>
                <w:sz w:val="16"/>
              </w:rPr>
              <w:t>Keystore-Standort und Rotationsplan</w:t>
            </w:r>
          </w:p>
        </w:tc>
      </w:tr>
      <w:tr>
        <w:tc>
          <w:tcPr>
            <w:tcW w:type="dxa" w:w="1757"/>
            <w:tcMar>
              <w:top w:w="90" w:type="dxa"/>
              <w:start w:w="90" w:type="dxa"/>
              <w:bottom w:w="90" w:type="dxa"/>
              <w:end w:w="90" w:type="dxa"/>
            </w:tcMar>
            <w:vAlign w:val="top"/>
            <w:shd w:fill="F5F7F8"/>
          </w:tcPr>
          <w:p>
            <w:pPr>
              <w:spacing w:after="0"/>
            </w:pPr>
            <w:r>
              <w:rPr>
                <w:sz w:val="16"/>
              </w:rPr>
              <w:t>7. Mai 2026, 03:14 Uhr</w:t>
            </w:r>
          </w:p>
        </w:tc>
        <w:tc>
          <w:tcPr>
            <w:tcW w:type="dxa" w:w="2948"/>
            <w:tcMar>
              <w:top w:w="90" w:type="dxa"/>
              <w:start w:w="90" w:type="dxa"/>
              <w:bottom w:w="90" w:type="dxa"/>
              <w:end w:w="90" w:type="dxa"/>
            </w:tcMar>
            <w:vAlign w:val="top"/>
            <w:shd w:fill="F5F7F8"/>
          </w:tcPr>
          <w:p>
            <w:pPr>
              <w:spacing w:after="0"/>
            </w:pPr>
            <w:r>
              <w:rPr>
                <w:sz w:val="16"/>
              </w:rPr>
              <w:t>Erster auffälliger Login über Frankenturm-VPN</w:t>
            </w:r>
          </w:p>
        </w:tc>
        <w:tc>
          <w:tcPr>
            <w:tcW w:type="dxa" w:w="2154"/>
            <w:tcMar>
              <w:top w:w="90" w:type="dxa"/>
              <w:start w:w="90" w:type="dxa"/>
              <w:bottom w:w="90" w:type="dxa"/>
              <w:end w:w="90" w:type="dxa"/>
            </w:tcMar>
            <w:vAlign w:val="top"/>
            <w:shd w:fill="F5F7F8"/>
          </w:tcPr>
          <w:p>
            <w:pPr>
              <w:spacing w:after="0"/>
            </w:pPr>
            <w:r>
              <w:rPr>
                <w:sz w:val="16"/>
              </w:rPr>
              <w:t>SIEM-Alarm 47118</w:t>
            </w:r>
          </w:p>
        </w:tc>
        <w:tc>
          <w:tcPr>
            <w:tcW w:type="dxa" w:w="2608"/>
            <w:tcMar>
              <w:top w:w="90" w:type="dxa"/>
              <w:start w:w="90" w:type="dxa"/>
              <w:bottom w:w="90" w:type="dxa"/>
              <w:end w:w="90" w:type="dxa"/>
            </w:tcMar>
            <w:vAlign w:val="top"/>
            <w:shd w:fill="F5F7F8"/>
          </w:tcPr>
          <w:p>
            <w:pPr>
              <w:spacing w:after="0"/>
            </w:pPr>
            <w:r>
              <w:rPr>
                <w:sz w:val="16"/>
              </w:rPr>
              <w:t>Quelladresse, Benutzerkonto, Sessioninhalt</w:t>
            </w:r>
          </w:p>
        </w:tc>
      </w:tr>
      <w:tr>
        <w:tc>
          <w:tcPr>
            <w:tcW w:type="dxa" w:w="1757"/>
            <w:tcMar>
              <w:top w:w="90" w:type="dxa"/>
              <w:start w:w="90" w:type="dxa"/>
              <w:bottom w:w="90" w:type="dxa"/>
              <w:end w:w="90" w:type="dxa"/>
            </w:tcMar>
            <w:vAlign w:val="top"/>
          </w:tcPr>
          <w:p>
            <w:pPr>
              <w:spacing w:after="0"/>
            </w:pPr>
            <w:r>
              <w:rPr>
                <w:sz w:val="16"/>
              </w:rPr>
              <w:t>7. Mai 2026, 07:42 Uhr</w:t>
            </w:r>
          </w:p>
        </w:tc>
        <w:tc>
          <w:tcPr>
            <w:tcW w:type="dxa" w:w="2948"/>
            <w:tcMar>
              <w:top w:w="90" w:type="dxa"/>
              <w:start w:w="90" w:type="dxa"/>
              <w:bottom w:w="90" w:type="dxa"/>
              <w:end w:w="90" w:type="dxa"/>
            </w:tcMar>
            <w:vAlign w:val="top"/>
          </w:tcPr>
          <w:p>
            <w:pPr>
              <w:spacing w:after="0"/>
            </w:pPr>
            <w:r>
              <w:rPr>
                <w:sz w:val="16"/>
              </w:rPr>
              <w:t>SOC setzt Ticket auf mittlere Priorität</w:t>
            </w:r>
          </w:p>
        </w:tc>
        <w:tc>
          <w:tcPr>
            <w:tcW w:type="dxa" w:w="2154"/>
            <w:tcMar>
              <w:top w:w="90" w:type="dxa"/>
              <w:start w:w="90" w:type="dxa"/>
              <w:bottom w:w="90" w:type="dxa"/>
              <w:end w:w="90" w:type="dxa"/>
            </w:tcMar>
            <w:vAlign w:val="top"/>
          </w:tcPr>
          <w:p>
            <w:pPr>
              <w:spacing w:after="0"/>
            </w:pPr>
            <w:r>
              <w:rPr>
                <w:sz w:val="16"/>
              </w:rPr>
              <w:t>Ticket SOC-2026-188</w:t>
            </w:r>
          </w:p>
        </w:tc>
        <w:tc>
          <w:tcPr>
            <w:tcW w:type="dxa" w:w="2608"/>
            <w:tcMar>
              <w:top w:w="90" w:type="dxa"/>
              <w:start w:w="90" w:type="dxa"/>
              <w:bottom w:w="90" w:type="dxa"/>
              <w:end w:w="90" w:type="dxa"/>
            </w:tcMar>
            <w:vAlign w:val="top"/>
          </w:tcPr>
          <w:p>
            <w:pPr>
              <w:spacing w:after="0"/>
            </w:pPr>
            <w:r>
              <w:rPr>
                <w:sz w:val="16"/>
              </w:rPr>
              <w:t>Begründung der Einstufung und Eskalationsweg</w:t>
            </w:r>
          </w:p>
        </w:tc>
      </w:tr>
      <w:tr>
        <w:tc>
          <w:tcPr>
            <w:tcW w:type="dxa" w:w="1757"/>
            <w:tcMar>
              <w:top w:w="90" w:type="dxa"/>
              <w:start w:w="90" w:type="dxa"/>
              <w:bottom w:w="90" w:type="dxa"/>
              <w:end w:w="90" w:type="dxa"/>
            </w:tcMar>
            <w:vAlign w:val="top"/>
            <w:shd w:fill="F5F7F8"/>
          </w:tcPr>
          <w:p>
            <w:pPr>
              <w:spacing w:after="0"/>
            </w:pPr>
            <w:r>
              <w:rPr>
                <w:sz w:val="16"/>
              </w:rPr>
              <w:t>14. Mai 2026, 08:00 Uhr</w:t>
            </w:r>
          </w:p>
        </w:tc>
        <w:tc>
          <w:tcPr>
            <w:tcW w:type="dxa" w:w="2948"/>
            <w:tcMar>
              <w:top w:w="90" w:type="dxa"/>
              <w:start w:w="90" w:type="dxa"/>
              <w:bottom w:w="90" w:type="dxa"/>
              <w:end w:w="90" w:type="dxa"/>
            </w:tcMar>
            <w:vAlign w:val="top"/>
            <w:shd w:fill="F5F7F8"/>
          </w:tcPr>
          <w:p>
            <w:pPr>
              <w:spacing w:after="0"/>
            </w:pPr>
            <w:r>
              <w:rPr>
                <w:sz w:val="16"/>
              </w:rPr>
              <w:t>Wiederanlauftest beginnt</w:t>
            </w:r>
          </w:p>
        </w:tc>
        <w:tc>
          <w:tcPr>
            <w:tcW w:type="dxa" w:w="2154"/>
            <w:tcMar>
              <w:top w:w="90" w:type="dxa"/>
              <w:start w:w="90" w:type="dxa"/>
              <w:bottom w:w="90" w:type="dxa"/>
              <w:end w:w="90" w:type="dxa"/>
            </w:tcMar>
            <w:vAlign w:val="top"/>
            <w:shd w:fill="F5F7F8"/>
          </w:tcPr>
          <w:p>
            <w:pPr>
              <w:spacing w:after="0"/>
            </w:pPr>
            <w:r>
              <w:rPr>
                <w:sz w:val="16"/>
              </w:rPr>
              <w:t>Restore-Protokoll</w:t>
            </w:r>
          </w:p>
        </w:tc>
        <w:tc>
          <w:tcPr>
            <w:tcW w:type="dxa" w:w="2608"/>
            <w:tcMar>
              <w:top w:w="90" w:type="dxa"/>
              <w:start w:w="90" w:type="dxa"/>
              <w:bottom w:w="90" w:type="dxa"/>
              <w:end w:w="90" w:type="dxa"/>
            </w:tcMar>
            <w:vAlign w:val="top"/>
            <w:shd w:fill="F5F7F8"/>
          </w:tcPr>
          <w:p>
            <w:pPr>
              <w:spacing w:after="0"/>
            </w:pPr>
            <w:r>
              <w:rPr>
                <w:sz w:val="16"/>
              </w:rPr>
              <w:t>Teilnehmer- und Freigabeliste</w:t>
            </w:r>
          </w:p>
        </w:tc>
      </w:tr>
      <w:tr>
        <w:tc>
          <w:tcPr>
            <w:tcW w:type="dxa" w:w="1757"/>
            <w:tcMar>
              <w:top w:w="90" w:type="dxa"/>
              <w:start w:w="90" w:type="dxa"/>
              <w:bottom w:w="90" w:type="dxa"/>
              <w:end w:w="90" w:type="dxa"/>
            </w:tcMar>
            <w:vAlign w:val="top"/>
          </w:tcPr>
          <w:p>
            <w:pPr>
              <w:spacing w:after="0"/>
            </w:pPr>
            <w:r>
              <w:rPr>
                <w:sz w:val="16"/>
              </w:rPr>
              <w:t>14. Mai 2026, 14:07 Uhr</w:t>
            </w:r>
          </w:p>
        </w:tc>
        <w:tc>
          <w:tcPr>
            <w:tcW w:type="dxa" w:w="2948"/>
            <w:tcMar>
              <w:top w:w="90" w:type="dxa"/>
              <w:start w:w="90" w:type="dxa"/>
              <w:bottom w:w="90" w:type="dxa"/>
              <w:end w:w="90" w:type="dxa"/>
            </w:tcMar>
            <w:vAlign w:val="top"/>
          </w:tcPr>
          <w:p>
            <w:pPr>
              <w:spacing w:after="0"/>
            </w:pPr>
            <w:r>
              <w:rPr>
                <w:sz w:val="16"/>
              </w:rPr>
              <w:t>Fileserver wiederhergestellt; ERP-Test abgebrochen</w:t>
            </w:r>
          </w:p>
        </w:tc>
        <w:tc>
          <w:tcPr>
            <w:tcW w:type="dxa" w:w="2154"/>
            <w:tcMar>
              <w:top w:w="90" w:type="dxa"/>
              <w:start w:w="90" w:type="dxa"/>
              <w:bottom w:w="90" w:type="dxa"/>
              <w:end w:w="90" w:type="dxa"/>
            </w:tcMar>
            <w:vAlign w:val="top"/>
          </w:tcPr>
          <w:p>
            <w:pPr>
              <w:spacing w:after="0"/>
            </w:pPr>
            <w:r>
              <w:rPr>
                <w:sz w:val="16"/>
              </w:rPr>
              <w:t>Restore-Protokoll</w:t>
            </w:r>
          </w:p>
        </w:tc>
        <w:tc>
          <w:tcPr>
            <w:tcW w:type="dxa" w:w="2608"/>
            <w:tcMar>
              <w:top w:w="90" w:type="dxa"/>
              <w:start w:w="90" w:type="dxa"/>
              <w:bottom w:w="90" w:type="dxa"/>
              <w:end w:w="90" w:type="dxa"/>
            </w:tcMar>
            <w:vAlign w:val="top"/>
          </w:tcPr>
          <w:p>
            <w:pPr>
              <w:spacing w:after="0"/>
            </w:pPr>
            <w:r>
              <w:rPr>
                <w:sz w:val="16"/>
              </w:rPr>
              <w:t>AD-Recovery-Dokumentation und ERP-Abbruchlog</w:t>
            </w:r>
          </w:p>
        </w:tc>
      </w:tr>
      <w:tr>
        <w:tc>
          <w:tcPr>
            <w:tcW w:type="dxa" w:w="1757"/>
            <w:tcMar>
              <w:top w:w="90" w:type="dxa"/>
              <w:start w:w="90" w:type="dxa"/>
              <w:bottom w:w="90" w:type="dxa"/>
              <w:end w:w="90" w:type="dxa"/>
            </w:tcMar>
            <w:vAlign w:val="top"/>
            <w:shd w:fill="F5F7F8"/>
          </w:tcPr>
          <w:p>
            <w:pPr>
              <w:spacing w:after="0"/>
            </w:pPr>
            <w:r>
              <w:rPr>
                <w:sz w:val="16"/>
              </w:rPr>
              <w:t>23. Mai 2026, 14:06 Uhr</w:t>
            </w:r>
          </w:p>
        </w:tc>
        <w:tc>
          <w:tcPr>
            <w:tcW w:type="dxa" w:w="2948"/>
            <w:tcMar>
              <w:top w:w="90" w:type="dxa"/>
              <w:start w:w="90" w:type="dxa"/>
              <w:bottom w:w="90" w:type="dxa"/>
              <w:end w:w="90" w:type="dxa"/>
            </w:tcMar>
            <w:vAlign w:val="top"/>
            <w:shd w:fill="F5F7F8"/>
          </w:tcPr>
          <w:p>
            <w:pPr>
              <w:spacing w:after="0"/>
            </w:pPr>
            <w:r>
              <w:rPr>
                <w:sz w:val="16"/>
              </w:rPr>
              <w:t>Frankenturm verlangt dauerhaft offenen VPN-Tunnel ohne Session Recording</w:t>
            </w:r>
          </w:p>
        </w:tc>
        <w:tc>
          <w:tcPr>
            <w:tcW w:type="dxa" w:w="2154"/>
            <w:tcMar>
              <w:top w:w="90" w:type="dxa"/>
              <w:start w:w="90" w:type="dxa"/>
              <w:bottom w:w="90" w:type="dxa"/>
              <w:end w:w="90" w:type="dxa"/>
            </w:tcMar>
            <w:vAlign w:val="top"/>
            <w:shd w:fill="F5F7F8"/>
          </w:tcPr>
          <w:p>
            <w:pPr>
              <w:spacing w:after="0"/>
            </w:pPr>
            <w:r>
              <w:rPr>
                <w:sz w:val="16"/>
              </w:rPr>
              <w:t>E-Mail 10</w:t>
            </w:r>
          </w:p>
        </w:tc>
        <w:tc>
          <w:tcPr>
            <w:tcW w:type="dxa" w:w="2608"/>
            <w:tcMar>
              <w:top w:w="90" w:type="dxa"/>
              <w:start w:w="90" w:type="dxa"/>
              <w:bottom w:w="90" w:type="dxa"/>
              <w:end w:w="90" w:type="dxa"/>
            </w:tcMar>
            <w:vAlign w:val="top"/>
            <w:shd w:fill="F5F7F8"/>
          </w:tcPr>
          <w:p>
            <w:pPr>
              <w:spacing w:after="0"/>
            </w:pPr>
            <w:r>
              <w:rPr>
                <w:sz w:val="16"/>
              </w:rPr>
              <w:t>SLA-Alternative und technische Mindestkonfiguration</w:t>
            </w:r>
          </w:p>
        </w:tc>
      </w:tr>
      <w:tr>
        <w:tc>
          <w:tcPr>
            <w:tcW w:type="dxa" w:w="1757"/>
            <w:tcMar>
              <w:top w:w="90" w:type="dxa"/>
              <w:start w:w="90" w:type="dxa"/>
              <w:bottom w:w="90" w:type="dxa"/>
              <w:end w:w="90" w:type="dxa"/>
            </w:tcMar>
            <w:vAlign w:val="top"/>
          </w:tcPr>
          <w:p>
            <w:pPr>
              <w:spacing w:after="0"/>
            </w:pPr>
            <w:r>
              <w:rPr>
                <w:sz w:val="16"/>
              </w:rPr>
              <w:t>24. Mai 2026, 16:22 Uhr</w:t>
            </w:r>
          </w:p>
        </w:tc>
        <w:tc>
          <w:tcPr>
            <w:tcW w:type="dxa" w:w="2948"/>
            <w:tcMar>
              <w:top w:w="90" w:type="dxa"/>
              <w:start w:w="90" w:type="dxa"/>
              <w:bottom w:w="90" w:type="dxa"/>
              <w:end w:w="90" w:type="dxa"/>
            </w:tcMar>
            <w:vAlign w:val="top"/>
          </w:tcPr>
          <w:p>
            <w:pPr>
              <w:spacing w:after="0"/>
            </w:pPr>
            <w:r>
              <w:rPr>
                <w:sz w:val="16"/>
              </w:rPr>
              <w:t>Betriebsrat verlangt Beteiligung bei MDM, AirTags und Logging</w:t>
            </w:r>
          </w:p>
        </w:tc>
        <w:tc>
          <w:tcPr>
            <w:tcW w:type="dxa" w:w="2154"/>
            <w:tcMar>
              <w:top w:w="90" w:type="dxa"/>
              <w:start w:w="90" w:type="dxa"/>
              <w:bottom w:w="90" w:type="dxa"/>
              <w:end w:w="90" w:type="dxa"/>
            </w:tcMar>
            <w:vAlign w:val="top"/>
          </w:tcPr>
          <w:p>
            <w:pPr>
              <w:spacing w:after="0"/>
            </w:pPr>
            <w:r>
              <w:rPr>
                <w:sz w:val="16"/>
              </w:rPr>
              <w:t>E-Mail 15</w:t>
            </w:r>
          </w:p>
        </w:tc>
        <w:tc>
          <w:tcPr>
            <w:tcW w:type="dxa" w:w="2608"/>
            <w:tcMar>
              <w:top w:w="90" w:type="dxa"/>
              <w:start w:w="90" w:type="dxa"/>
              <w:bottom w:w="90" w:type="dxa"/>
              <w:end w:w="90" w:type="dxa"/>
            </w:tcMar>
            <w:vAlign w:val="top"/>
          </w:tcPr>
          <w:p>
            <w:pPr>
              <w:spacing w:after="0"/>
            </w:pPr>
            <w:r>
              <w:rPr>
                <w:sz w:val="16"/>
              </w:rPr>
              <w:t>Bestehender Rolloutumfang und Verfahrensstand</w:t>
            </w:r>
          </w:p>
        </w:tc>
      </w:tr>
      <w:tr>
        <w:tc>
          <w:tcPr>
            <w:tcW w:type="dxa" w:w="1757"/>
            <w:tcMar>
              <w:top w:w="90" w:type="dxa"/>
              <w:start w:w="90" w:type="dxa"/>
              <w:bottom w:w="90" w:type="dxa"/>
              <w:end w:w="90" w:type="dxa"/>
            </w:tcMar>
            <w:vAlign w:val="top"/>
            <w:shd w:fill="F5F7F8"/>
          </w:tcPr>
          <w:p>
            <w:pPr>
              <w:spacing w:after="0"/>
            </w:pPr>
            <w:r>
              <w:rPr>
                <w:sz w:val="16"/>
              </w:rPr>
              <w:t>26. Mai 2026, 07:42 Uhr</w:t>
            </w:r>
          </w:p>
        </w:tc>
        <w:tc>
          <w:tcPr>
            <w:tcW w:type="dxa" w:w="2948"/>
            <w:tcMar>
              <w:top w:w="90" w:type="dxa"/>
              <w:start w:w="90" w:type="dxa"/>
              <w:bottom w:w="90" w:type="dxa"/>
              <w:end w:w="90" w:type="dxa"/>
            </w:tcMar>
            <w:vAlign w:val="top"/>
            <w:shd w:fill="F5F7F8"/>
          </w:tcPr>
          <w:p>
            <w:pPr>
              <w:spacing w:after="0"/>
            </w:pPr>
            <w:r>
              <w:rPr>
                <w:sz w:val="16"/>
              </w:rPr>
              <w:t>CISO fordert belastbare Leitungsvorlage</w:t>
            </w:r>
          </w:p>
        </w:tc>
        <w:tc>
          <w:tcPr>
            <w:tcW w:type="dxa" w:w="2154"/>
            <w:tcMar>
              <w:top w:w="90" w:type="dxa"/>
              <w:start w:w="90" w:type="dxa"/>
              <w:bottom w:w="90" w:type="dxa"/>
              <w:end w:w="90" w:type="dxa"/>
            </w:tcMar>
            <w:vAlign w:val="top"/>
            <w:shd w:fill="F5F7F8"/>
          </w:tcPr>
          <w:p>
            <w:pPr>
              <w:spacing w:after="0"/>
            </w:pPr>
            <w:r>
              <w:rPr>
                <w:sz w:val="16"/>
              </w:rPr>
              <w:t>E-Mail 09</w:t>
            </w:r>
          </w:p>
        </w:tc>
        <w:tc>
          <w:tcPr>
            <w:tcW w:type="dxa" w:w="2608"/>
            <w:tcMar>
              <w:top w:w="90" w:type="dxa"/>
              <w:start w:w="90" w:type="dxa"/>
              <w:bottom w:w="90" w:type="dxa"/>
              <w:end w:w="90" w:type="dxa"/>
            </w:tcMar>
            <w:vAlign w:val="top"/>
            <w:shd w:fill="F5F7F8"/>
          </w:tcPr>
          <w:p>
            <w:pPr>
              <w:spacing w:after="0"/>
            </w:pPr>
            <w:r>
              <w:rPr>
                <w:sz w:val="16"/>
              </w:rPr>
              <w:t>Entscheidungsumfang und Budgetrahmen</w:t>
            </w:r>
          </w:p>
        </w:tc>
      </w:tr>
      <w:tr>
        <w:tc>
          <w:tcPr>
            <w:tcW w:type="dxa" w:w="1757"/>
            <w:tcMar>
              <w:top w:w="90" w:type="dxa"/>
              <w:start w:w="90" w:type="dxa"/>
              <w:bottom w:w="90" w:type="dxa"/>
              <w:end w:w="90" w:type="dxa"/>
            </w:tcMar>
            <w:vAlign w:val="top"/>
          </w:tcPr>
          <w:p>
            <w:pPr>
              <w:spacing w:after="0"/>
            </w:pPr>
            <w:r>
              <w:rPr>
                <w:sz w:val="16"/>
              </w:rPr>
              <w:t>29. Mai 2026, 08:30 Uhr</w:t>
            </w:r>
          </w:p>
        </w:tc>
        <w:tc>
          <w:tcPr>
            <w:tcW w:type="dxa" w:w="2948"/>
            <w:tcMar>
              <w:top w:w="90" w:type="dxa"/>
              <w:start w:w="90" w:type="dxa"/>
              <w:bottom w:w="90" w:type="dxa"/>
              <w:end w:w="90" w:type="dxa"/>
            </w:tcMar>
            <w:vAlign w:val="top"/>
          </w:tcPr>
          <w:p>
            <w:pPr>
              <w:spacing w:after="0"/>
            </w:pPr>
            <w:r>
              <w:rPr>
                <w:sz w:val="16"/>
              </w:rPr>
              <w:t>Vorstand erteilt vier Prüf- und Beschaffungsaufträge</w:t>
            </w:r>
          </w:p>
        </w:tc>
        <w:tc>
          <w:tcPr>
            <w:tcW w:type="dxa" w:w="2154"/>
            <w:tcMar>
              <w:top w:w="90" w:type="dxa"/>
              <w:start w:w="90" w:type="dxa"/>
              <w:bottom w:w="90" w:type="dxa"/>
              <w:end w:w="90" w:type="dxa"/>
            </w:tcMar>
            <w:vAlign w:val="top"/>
          </w:tcPr>
          <w:p>
            <w:pPr>
              <w:spacing w:after="0"/>
            </w:pPr>
            <w:r>
              <w:rPr>
                <w:sz w:val="16"/>
              </w:rPr>
              <w:t>Sitzungsnotiz, Unterschrift offen</w:t>
            </w:r>
          </w:p>
        </w:tc>
        <w:tc>
          <w:tcPr>
            <w:tcW w:type="dxa" w:w="2608"/>
            <w:tcMar>
              <w:top w:w="90" w:type="dxa"/>
              <w:start w:w="90" w:type="dxa"/>
              <w:bottom w:w="90" w:type="dxa"/>
              <w:end w:w="90" w:type="dxa"/>
            </w:tcMar>
            <w:vAlign w:val="top"/>
          </w:tcPr>
          <w:p>
            <w:pPr>
              <w:spacing w:after="0"/>
            </w:pPr>
            <w:r>
              <w:rPr>
                <w:sz w:val="16"/>
              </w:rPr>
              <w:t>Unterzeichnetes Protokoll</w:t>
            </w:r>
          </w:p>
        </w:tc>
      </w:tr>
      <w:tr>
        <w:tc>
          <w:tcPr>
            <w:tcW w:type="dxa" w:w="1757"/>
            <w:tcMar>
              <w:top w:w="90" w:type="dxa"/>
              <w:start w:w="90" w:type="dxa"/>
              <w:bottom w:w="90" w:type="dxa"/>
              <w:end w:w="90" w:type="dxa"/>
            </w:tcMar>
            <w:vAlign w:val="top"/>
            <w:shd w:fill="F5F7F8"/>
          </w:tcPr>
          <w:p>
            <w:pPr>
              <w:spacing w:after="0"/>
            </w:pPr>
            <w:r>
              <w:rPr>
                <w:sz w:val="16"/>
              </w:rPr>
              <w:t>2. Juni 2026, 09:20 Uhr</w:t>
            </w:r>
          </w:p>
        </w:tc>
        <w:tc>
          <w:tcPr>
            <w:tcW w:type="dxa" w:w="2948"/>
            <w:tcMar>
              <w:top w:w="90" w:type="dxa"/>
              <w:start w:w="90" w:type="dxa"/>
              <w:bottom w:w="90" w:type="dxa"/>
              <w:end w:w="90" w:type="dxa"/>
            </w:tcMar>
            <w:vAlign w:val="top"/>
            <w:shd w:fill="F5F7F8"/>
          </w:tcPr>
          <w:p>
            <w:pPr>
              <w:spacing w:after="0"/>
            </w:pPr>
            <w:r>
              <w:rPr>
                <w:sz w:val="16"/>
              </w:rPr>
              <w:t>Cloud-Anbieter übermittelt nur Zusammenfassung des C5-Testats</w:t>
            </w:r>
          </w:p>
        </w:tc>
        <w:tc>
          <w:tcPr>
            <w:tcW w:type="dxa" w:w="2154"/>
            <w:tcMar>
              <w:top w:w="90" w:type="dxa"/>
              <w:start w:w="90" w:type="dxa"/>
              <w:bottom w:w="90" w:type="dxa"/>
              <w:end w:w="90" w:type="dxa"/>
            </w:tcMar>
            <w:vAlign w:val="top"/>
            <w:shd w:fill="F5F7F8"/>
          </w:tcPr>
          <w:p>
            <w:pPr>
              <w:spacing w:after="0"/>
            </w:pPr>
            <w:r>
              <w:rPr>
                <w:sz w:val="16"/>
              </w:rPr>
              <w:t>E-Mail und PDF</w:t>
            </w:r>
          </w:p>
        </w:tc>
        <w:tc>
          <w:tcPr>
            <w:tcW w:type="dxa" w:w="2608"/>
            <w:tcMar>
              <w:top w:w="90" w:type="dxa"/>
              <w:start w:w="90" w:type="dxa"/>
              <w:bottom w:w="90" w:type="dxa"/>
              <w:end w:w="90" w:type="dxa"/>
            </w:tcMar>
            <w:vAlign w:val="top"/>
            <w:shd w:fill="F5F7F8"/>
          </w:tcPr>
          <w:p>
            <w:pPr>
              <w:spacing w:after="0"/>
            </w:pPr>
            <w:r>
              <w:rPr>
                <w:sz w:val="16"/>
              </w:rPr>
              <w:t>Vollständiger Bericht, Scope und Subdienstleister</w:t>
            </w:r>
          </w:p>
        </w:tc>
      </w:tr>
      <w:tr>
        <w:tc>
          <w:tcPr>
            <w:tcW w:type="dxa" w:w="1757"/>
            <w:tcMar>
              <w:top w:w="90" w:type="dxa"/>
              <w:start w:w="90" w:type="dxa"/>
              <w:bottom w:w="90" w:type="dxa"/>
              <w:end w:w="90" w:type="dxa"/>
            </w:tcMar>
            <w:vAlign w:val="top"/>
          </w:tcPr>
          <w:p>
            <w:pPr>
              <w:spacing w:after="0"/>
            </w:pPr>
            <w:r>
              <w:rPr>
                <w:sz w:val="16"/>
              </w:rPr>
              <w:t>12. Juni 2026, 08:30 Uhr</w:t>
            </w:r>
          </w:p>
        </w:tc>
        <w:tc>
          <w:tcPr>
            <w:tcW w:type="dxa" w:w="2948"/>
            <w:tcMar>
              <w:top w:w="90" w:type="dxa"/>
              <w:start w:w="90" w:type="dxa"/>
              <w:bottom w:w="90" w:type="dxa"/>
              <w:end w:w="90" w:type="dxa"/>
            </w:tcMar>
            <w:vAlign w:val="top"/>
          </w:tcPr>
          <w:p>
            <w:pPr>
              <w:spacing w:after="0"/>
            </w:pPr>
            <w:r>
              <w:rPr>
                <w:sz w:val="16"/>
              </w:rPr>
              <w:t>Folgesitzung zu Budget und Rolloutfreigaben</w:t>
            </w:r>
          </w:p>
        </w:tc>
        <w:tc>
          <w:tcPr>
            <w:tcW w:type="dxa" w:w="2154"/>
            <w:tcMar>
              <w:top w:w="90" w:type="dxa"/>
              <w:start w:w="90" w:type="dxa"/>
              <w:bottom w:w="90" w:type="dxa"/>
              <w:end w:w="90" w:type="dxa"/>
            </w:tcMar>
            <w:vAlign w:val="top"/>
          </w:tcPr>
          <w:p>
            <w:pPr>
              <w:spacing w:after="0"/>
            </w:pPr>
            <w:r>
              <w:rPr>
                <w:sz w:val="16"/>
              </w:rPr>
              <w:t>Kalendereinladung</w:t>
            </w:r>
          </w:p>
        </w:tc>
        <w:tc>
          <w:tcPr>
            <w:tcW w:type="dxa" w:w="2608"/>
            <w:tcMar>
              <w:top w:w="90" w:type="dxa"/>
              <w:start w:w="90" w:type="dxa"/>
              <w:bottom w:w="90" w:type="dxa"/>
              <w:end w:w="90" w:type="dxa"/>
            </w:tcMar>
            <w:vAlign w:val="top"/>
          </w:tcPr>
          <w:p>
            <w:pPr>
              <w:spacing w:after="0"/>
            </w:pPr>
            <w:r>
              <w:rPr>
                <w:sz w:val="16"/>
              </w:rPr>
              <w:t>Entscheidungsvorlage und Maßnahmenstatus</w:t>
            </w:r>
          </w:p>
        </w:tc>
      </w:tr>
      <w:tr>
        <w:tc>
          <w:tcPr>
            <w:tcW w:type="dxa" w:w="1757"/>
            <w:tcMar>
              <w:top w:w="90" w:type="dxa"/>
              <w:start w:w="90" w:type="dxa"/>
              <w:bottom w:w="90" w:type="dxa"/>
              <w:end w:w="90" w:type="dxa"/>
            </w:tcMar>
            <w:vAlign w:val="top"/>
            <w:shd w:fill="F5F7F8"/>
          </w:tcPr>
          <w:p>
            <w:pPr>
              <w:spacing w:after="0"/>
            </w:pPr>
            <w:r>
              <w:rPr>
                <w:sz w:val="16"/>
              </w:rPr>
              <w:t>18. Juni 2026</w:t>
            </w:r>
          </w:p>
        </w:tc>
        <w:tc>
          <w:tcPr>
            <w:tcW w:type="dxa" w:w="2948"/>
            <w:tcMar>
              <w:top w:w="90" w:type="dxa"/>
              <w:start w:w="90" w:type="dxa"/>
              <w:bottom w:w="90" w:type="dxa"/>
              <w:end w:w="90" w:type="dxa"/>
            </w:tcMar>
            <w:vAlign w:val="top"/>
            <w:shd w:fill="F5F7F8"/>
          </w:tcPr>
          <w:p>
            <w:pPr>
              <w:spacing w:after="0"/>
            </w:pPr>
            <w:r>
              <w:rPr>
                <w:sz w:val="16"/>
              </w:rPr>
              <w:t>Geplanter Firmware-Release 4.8</w:t>
            </w:r>
          </w:p>
        </w:tc>
        <w:tc>
          <w:tcPr>
            <w:tcW w:type="dxa" w:w="2154"/>
            <w:tcMar>
              <w:top w:w="90" w:type="dxa"/>
              <w:start w:w="90" w:type="dxa"/>
              <w:bottom w:w="90" w:type="dxa"/>
              <w:end w:w="90" w:type="dxa"/>
            </w:tcMar>
            <w:vAlign w:val="top"/>
            <w:shd w:fill="F5F7F8"/>
          </w:tcPr>
          <w:p>
            <w:pPr>
              <w:spacing w:after="0"/>
            </w:pPr>
            <w:r>
              <w:rPr>
                <w:sz w:val="16"/>
              </w:rPr>
              <w:t>Engineering-Roadmap</w:t>
            </w:r>
          </w:p>
        </w:tc>
        <w:tc>
          <w:tcPr>
            <w:tcW w:type="dxa" w:w="2608"/>
            <w:tcMar>
              <w:top w:w="90" w:type="dxa"/>
              <w:start w:w="90" w:type="dxa"/>
              <w:bottom w:w="90" w:type="dxa"/>
              <w:end w:w="90" w:type="dxa"/>
            </w:tcMar>
            <w:vAlign w:val="top"/>
            <w:shd w:fill="F5F7F8"/>
          </w:tcPr>
          <w:p>
            <w:pPr>
              <w:spacing w:after="0"/>
            </w:pPr>
            <w:r>
              <w:rPr>
                <w:sz w:val="16"/>
              </w:rPr>
              <w:t>Neues Zertifikat und signierter Testbuild</w:t>
            </w:r>
          </w:p>
        </w:tc>
      </w:tr>
      <w:tr>
        <w:tc>
          <w:tcPr>
            <w:tcW w:type="dxa" w:w="1757"/>
            <w:tcMar>
              <w:top w:w="90" w:type="dxa"/>
              <w:start w:w="90" w:type="dxa"/>
              <w:bottom w:w="90" w:type="dxa"/>
              <w:end w:w="90" w:type="dxa"/>
            </w:tcMar>
            <w:vAlign w:val="top"/>
          </w:tcPr>
          <w:p>
            <w:pPr>
              <w:spacing w:after="0"/>
            </w:pPr>
            <w:r>
              <w:rPr>
                <w:sz w:val="16"/>
              </w:rPr>
              <w:t>9. Juli 2026</w:t>
            </w:r>
          </w:p>
        </w:tc>
        <w:tc>
          <w:tcPr>
            <w:tcW w:type="dxa" w:w="2948"/>
            <w:tcMar>
              <w:top w:w="90" w:type="dxa"/>
              <w:start w:w="90" w:type="dxa"/>
              <w:bottom w:w="90" w:type="dxa"/>
              <w:end w:w="90" w:type="dxa"/>
            </w:tcMar>
            <w:vAlign w:val="top"/>
          </w:tcPr>
          <w:p>
            <w:pPr>
              <w:spacing w:after="0"/>
            </w:pPr>
            <w:r>
              <w:rPr>
                <w:sz w:val="16"/>
              </w:rPr>
              <w:t>Ablauf des bisherigen Code-Signing-Zertifikats</w:t>
            </w:r>
          </w:p>
        </w:tc>
        <w:tc>
          <w:tcPr>
            <w:tcW w:type="dxa" w:w="2154"/>
            <w:tcMar>
              <w:top w:w="90" w:type="dxa"/>
              <w:start w:w="90" w:type="dxa"/>
              <w:bottom w:w="90" w:type="dxa"/>
              <w:end w:w="90" w:type="dxa"/>
            </w:tcMar>
            <w:vAlign w:val="top"/>
          </w:tcPr>
          <w:p>
            <w:pPr>
              <w:spacing w:after="0"/>
            </w:pPr>
            <w:r>
              <w:rPr>
                <w:sz w:val="16"/>
              </w:rPr>
              <w:t>Zertifikatsinventar</w:t>
            </w:r>
          </w:p>
        </w:tc>
        <w:tc>
          <w:tcPr>
            <w:tcW w:type="dxa" w:w="2608"/>
            <w:tcMar>
              <w:top w:w="90" w:type="dxa"/>
              <w:start w:w="90" w:type="dxa"/>
              <w:bottom w:w="90" w:type="dxa"/>
              <w:end w:w="90" w:type="dxa"/>
            </w:tcMar>
            <w:vAlign w:val="top"/>
          </w:tcPr>
          <w:p>
            <w:pPr>
              <w:spacing w:after="0"/>
            </w:pPr>
            <w:r>
              <w:rPr>
                <w:sz w:val="16"/>
              </w:rPr>
              <w:t>Rotation und Sperrkonzept</w:t>
            </w:r>
          </w:p>
        </w:tc>
      </w:tr>
    </w:tbl>
    <w:p>
      <w:pPr>
        <w:spacing w:after="20"/>
      </w:pPr>
    </w:p>
    <w:p>
      <w:pPr>
        <w:pStyle w:val="Heading1"/>
      </w:pPr>
      <w:r>
        <w:t>2. Fristen- und Wiedervorlagen</w:t>
      </w:r>
    </w:p>
    <w:tbl>
      <w:tblPr>
        <w:tblStyle w:val="TableGrid"/>
        <w:tblW w:type="auto" w:w="0"/>
        <w:tblLayout w:type="fixed"/>
        <w:tblLook w:firstColumn="1" w:firstRow="1" w:lastColumn="0" w:lastRow="0" w:noHBand="0" w:noVBand="1" w:val="04A0"/>
      </w:tblPr>
      <w:tblGrid>
        <w:gridCol w:w="2948"/>
        <w:gridCol w:w="1984"/>
        <w:gridCol w:w="2268"/>
        <w:gridCol w:w="3685"/>
      </w:tblGrid>
      <w:tr>
        <w:tc>
          <w:tcPr>
            <w:tcW w:type="dxa" w:w="2395"/>
            <w:shd w:fill="17324D"/>
            <w:tcMar>
              <w:top w:w="90" w:type="dxa"/>
              <w:start w:w="90" w:type="dxa"/>
              <w:bottom w:w="90" w:type="dxa"/>
              <w:end w:w="90" w:type="dxa"/>
            </w:tcMar>
          </w:tcPr>
          <w:p>
            <w:r>
              <w:rPr>
                <w:b/>
                <w:color w:val="FFFFFF"/>
                <w:sz w:val="17"/>
              </w:rPr>
              <w:t>Kontrollpunkt</w:t>
            </w:r>
          </w:p>
        </w:tc>
        <w:tc>
          <w:tcPr>
            <w:tcW w:type="dxa" w:w="2395"/>
            <w:shd w:fill="17324D"/>
            <w:tcMar>
              <w:top w:w="90" w:type="dxa"/>
              <w:start w:w="90" w:type="dxa"/>
              <w:bottom w:w="90" w:type="dxa"/>
              <w:end w:w="90" w:type="dxa"/>
            </w:tcMar>
          </w:tcPr>
          <w:p>
            <w:r>
              <w:rPr>
                <w:b/>
                <w:color w:val="FFFFFF"/>
                <w:sz w:val="17"/>
              </w:rPr>
              <w:t>Arbeitsdatum</w:t>
            </w:r>
          </w:p>
        </w:tc>
        <w:tc>
          <w:tcPr>
            <w:tcW w:type="dxa" w:w="2395"/>
            <w:shd w:fill="17324D"/>
            <w:tcMar>
              <w:top w:w="90" w:type="dxa"/>
              <w:start w:w="90" w:type="dxa"/>
              <w:bottom w:w="90" w:type="dxa"/>
              <w:end w:w="90" w:type="dxa"/>
            </w:tcMar>
          </w:tcPr>
          <w:p>
            <w:r>
              <w:rPr>
                <w:b/>
                <w:color w:val="FFFFFF"/>
                <w:sz w:val="17"/>
              </w:rPr>
              <w:t>Verantwortlich</w:t>
            </w:r>
          </w:p>
        </w:tc>
        <w:tc>
          <w:tcPr>
            <w:tcW w:type="dxa" w:w="2395"/>
            <w:shd w:fill="17324D"/>
            <w:tcMar>
              <w:top w:w="90" w:type="dxa"/>
              <w:start w:w="90" w:type="dxa"/>
              <w:bottom w:w="90" w:type="dxa"/>
              <w:end w:w="90" w:type="dxa"/>
            </w:tcMar>
          </w:tcPr>
          <w:p>
            <w:r>
              <w:rPr>
                <w:b/>
                <w:color w:val="FFFFFF"/>
                <w:sz w:val="17"/>
              </w:rPr>
              <w:t>Erledigungsnachweis</w:t>
            </w:r>
          </w:p>
        </w:tc>
      </w:tr>
      <w:tr>
        <w:tc>
          <w:tcPr>
            <w:tcW w:type="dxa" w:w="2948"/>
            <w:tcMar>
              <w:top w:w="90" w:type="dxa"/>
              <w:start w:w="90" w:type="dxa"/>
              <w:bottom w:w="90" w:type="dxa"/>
              <w:end w:w="90" w:type="dxa"/>
            </w:tcMar>
            <w:vAlign w:val="top"/>
          </w:tcPr>
          <w:p>
            <w:pPr>
              <w:spacing w:after="0"/>
            </w:pPr>
            <w:r>
              <w:rPr>
                <w:sz w:val="16"/>
              </w:rPr>
              <w:t>VPN-Logpaket vollständig</w:t>
            </w:r>
          </w:p>
        </w:tc>
        <w:tc>
          <w:tcPr>
            <w:tcW w:type="dxa" w:w="1984"/>
            <w:tcMar>
              <w:top w:w="90" w:type="dxa"/>
              <w:start w:w="90" w:type="dxa"/>
              <w:bottom w:w="90" w:type="dxa"/>
              <w:end w:w="90" w:type="dxa"/>
            </w:tcMar>
            <w:vAlign w:val="top"/>
          </w:tcPr>
          <w:p>
            <w:pPr>
              <w:spacing w:after="0"/>
            </w:pPr>
            <w:r>
              <w:rPr>
                <w:sz w:val="16"/>
              </w:rPr>
              <w:t>4. Juni 2026</w:t>
            </w:r>
          </w:p>
        </w:tc>
        <w:tc>
          <w:tcPr>
            <w:tcW w:type="dxa" w:w="2268"/>
            <w:tcMar>
              <w:top w:w="90" w:type="dxa"/>
              <w:start w:w="90" w:type="dxa"/>
              <w:bottom w:w="90" w:type="dxa"/>
              <w:end w:w="90" w:type="dxa"/>
            </w:tcMar>
            <w:vAlign w:val="top"/>
          </w:tcPr>
          <w:p>
            <w:pPr>
              <w:spacing w:after="0"/>
            </w:pPr>
            <w:r>
              <w:rPr>
                <w:sz w:val="16"/>
              </w:rPr>
              <w:t>SOC-Leitung</w:t>
            </w:r>
          </w:p>
        </w:tc>
        <w:tc>
          <w:tcPr>
            <w:tcW w:type="dxa" w:w="3685"/>
            <w:tcMar>
              <w:top w:w="90" w:type="dxa"/>
              <w:start w:w="90" w:type="dxa"/>
              <w:bottom w:w="90" w:type="dxa"/>
              <w:end w:w="90" w:type="dxa"/>
            </w:tcMar>
            <w:vAlign w:val="top"/>
          </w:tcPr>
          <w:p>
            <w:pPr>
              <w:spacing w:after="0"/>
            </w:pPr>
            <w:r>
              <w:rPr>
                <w:sz w:val="16"/>
              </w:rPr>
              <w:t>Hashliste, SIEM-Export, Ticketverlauf</w:t>
            </w:r>
          </w:p>
        </w:tc>
      </w:tr>
      <w:tr>
        <w:tc>
          <w:tcPr>
            <w:tcW w:type="dxa" w:w="2948"/>
            <w:tcMar>
              <w:top w:w="90" w:type="dxa"/>
              <w:start w:w="90" w:type="dxa"/>
              <w:bottom w:w="90" w:type="dxa"/>
              <w:end w:w="90" w:type="dxa"/>
            </w:tcMar>
            <w:vAlign w:val="top"/>
            <w:shd w:fill="F5F7F8"/>
          </w:tcPr>
          <w:p>
            <w:pPr>
              <w:spacing w:after="0"/>
            </w:pPr>
            <w:r>
              <w:rPr>
                <w:sz w:val="16"/>
              </w:rPr>
              <w:t>Konzern- und Sektordaten bestätigt</w:t>
            </w:r>
          </w:p>
        </w:tc>
        <w:tc>
          <w:tcPr>
            <w:tcW w:type="dxa" w:w="1984"/>
            <w:tcMar>
              <w:top w:w="90" w:type="dxa"/>
              <w:start w:w="90" w:type="dxa"/>
              <w:bottom w:w="90" w:type="dxa"/>
              <w:end w:w="90" w:type="dxa"/>
            </w:tcMar>
            <w:vAlign w:val="top"/>
            <w:shd w:fill="F5F7F8"/>
          </w:tcPr>
          <w:p>
            <w:pPr>
              <w:spacing w:after="0"/>
            </w:pPr>
            <w:r>
              <w:rPr>
                <w:sz w:val="16"/>
              </w:rPr>
              <w:t>5. Juni 2026</w:t>
            </w:r>
          </w:p>
        </w:tc>
        <w:tc>
          <w:tcPr>
            <w:tcW w:type="dxa" w:w="2268"/>
            <w:tcMar>
              <w:top w:w="90" w:type="dxa"/>
              <w:start w:w="90" w:type="dxa"/>
              <w:bottom w:w="90" w:type="dxa"/>
              <w:end w:w="90" w:type="dxa"/>
            </w:tcMar>
            <w:vAlign w:val="top"/>
            <w:shd w:fill="F5F7F8"/>
          </w:tcPr>
          <w:p>
            <w:pPr>
              <w:spacing w:after="0"/>
            </w:pPr>
            <w:r>
              <w:rPr>
                <w:sz w:val="16"/>
              </w:rPr>
              <w:t>Finanzen / Recht</w:t>
            </w:r>
          </w:p>
        </w:tc>
        <w:tc>
          <w:tcPr>
            <w:tcW w:type="dxa" w:w="3685"/>
            <w:tcMar>
              <w:top w:w="90" w:type="dxa"/>
              <w:start w:w="90" w:type="dxa"/>
              <w:bottom w:w="90" w:type="dxa"/>
              <w:end w:w="90" w:type="dxa"/>
            </w:tcMar>
            <w:vAlign w:val="top"/>
            <w:shd w:fill="F5F7F8"/>
          </w:tcPr>
          <w:p>
            <w:pPr>
              <w:spacing w:after="0"/>
            </w:pPr>
            <w:r>
              <w:rPr>
                <w:sz w:val="16"/>
              </w:rPr>
              <w:t>Jahresabschluss, Organigramm, Dienstekatalog</w:t>
            </w:r>
          </w:p>
        </w:tc>
      </w:tr>
      <w:tr>
        <w:tc>
          <w:tcPr>
            <w:tcW w:type="dxa" w:w="2948"/>
            <w:tcMar>
              <w:top w:w="90" w:type="dxa"/>
              <w:start w:w="90" w:type="dxa"/>
              <w:bottom w:w="90" w:type="dxa"/>
              <w:end w:w="90" w:type="dxa"/>
            </w:tcMar>
            <w:vAlign w:val="top"/>
          </w:tcPr>
          <w:p>
            <w:pPr>
              <w:spacing w:after="0"/>
            </w:pPr>
            <w:r>
              <w:rPr>
                <w:sz w:val="16"/>
              </w:rPr>
              <w:t>Slack-Konfiguration geprüft</w:t>
            </w:r>
          </w:p>
        </w:tc>
        <w:tc>
          <w:tcPr>
            <w:tcW w:type="dxa" w:w="1984"/>
            <w:tcMar>
              <w:top w:w="90" w:type="dxa"/>
              <w:start w:w="90" w:type="dxa"/>
              <w:bottom w:w="90" w:type="dxa"/>
              <w:end w:w="90" w:type="dxa"/>
            </w:tcMar>
            <w:vAlign w:val="top"/>
          </w:tcPr>
          <w:p>
            <w:pPr>
              <w:spacing w:after="0"/>
            </w:pPr>
            <w:r>
              <w:rPr>
                <w:sz w:val="16"/>
              </w:rPr>
              <w:t>8. Juni 2026</w:t>
            </w:r>
          </w:p>
        </w:tc>
        <w:tc>
          <w:tcPr>
            <w:tcW w:type="dxa" w:w="2268"/>
            <w:tcMar>
              <w:top w:w="90" w:type="dxa"/>
              <w:start w:w="90" w:type="dxa"/>
              <w:bottom w:w="90" w:type="dxa"/>
              <w:end w:w="90" w:type="dxa"/>
            </w:tcMar>
            <w:vAlign w:val="top"/>
          </w:tcPr>
          <w:p>
            <w:pPr>
              <w:spacing w:after="0"/>
            </w:pPr>
            <w:r>
              <w:rPr>
                <w:sz w:val="16"/>
              </w:rPr>
              <w:t>Collaboration-Team</w:t>
            </w:r>
          </w:p>
        </w:tc>
        <w:tc>
          <w:tcPr>
            <w:tcW w:type="dxa" w:w="3685"/>
            <w:tcMar>
              <w:top w:w="90" w:type="dxa"/>
              <w:start w:w="90" w:type="dxa"/>
              <w:bottom w:w="90" w:type="dxa"/>
              <w:end w:w="90" w:type="dxa"/>
            </w:tcMar>
            <w:vAlign w:val="top"/>
          </w:tcPr>
          <w:p>
            <w:pPr>
              <w:spacing w:after="0"/>
            </w:pPr>
            <w:r>
              <w:rPr>
                <w:sz w:val="16"/>
              </w:rPr>
              <w:t>Adminexport und Abnahmeprotokoll</w:t>
            </w:r>
          </w:p>
        </w:tc>
      </w:tr>
      <w:tr>
        <w:tc>
          <w:tcPr>
            <w:tcW w:type="dxa" w:w="2948"/>
            <w:tcMar>
              <w:top w:w="90" w:type="dxa"/>
              <w:start w:w="90" w:type="dxa"/>
              <w:bottom w:w="90" w:type="dxa"/>
              <w:end w:w="90" w:type="dxa"/>
            </w:tcMar>
            <w:vAlign w:val="top"/>
            <w:shd w:fill="F5F7F8"/>
          </w:tcPr>
          <w:p>
            <w:pPr>
              <w:spacing w:after="0"/>
            </w:pPr>
            <w:r>
              <w:rPr>
                <w:sz w:val="16"/>
              </w:rPr>
              <w:t>AirTag-Inventar und Rollen</w:t>
            </w:r>
          </w:p>
        </w:tc>
        <w:tc>
          <w:tcPr>
            <w:tcW w:type="dxa" w:w="1984"/>
            <w:tcMar>
              <w:top w:w="90" w:type="dxa"/>
              <w:start w:w="90" w:type="dxa"/>
              <w:bottom w:w="90" w:type="dxa"/>
              <w:end w:w="90" w:type="dxa"/>
            </w:tcMar>
            <w:vAlign w:val="top"/>
            <w:shd w:fill="F5F7F8"/>
          </w:tcPr>
          <w:p>
            <w:pPr>
              <w:spacing w:after="0"/>
            </w:pPr>
            <w:r>
              <w:rPr>
                <w:sz w:val="16"/>
              </w:rPr>
              <w:t>8. Juni 2026</w:t>
            </w:r>
          </w:p>
        </w:tc>
        <w:tc>
          <w:tcPr>
            <w:tcW w:type="dxa" w:w="2268"/>
            <w:tcMar>
              <w:top w:w="90" w:type="dxa"/>
              <w:start w:w="90" w:type="dxa"/>
              <w:bottom w:w="90" w:type="dxa"/>
              <w:end w:w="90" w:type="dxa"/>
            </w:tcMar>
            <w:vAlign w:val="top"/>
            <w:shd w:fill="F5F7F8"/>
          </w:tcPr>
          <w:p>
            <w:pPr>
              <w:spacing w:after="0"/>
            </w:pPr>
            <w:r>
              <w:rPr>
                <w:sz w:val="16"/>
              </w:rPr>
              <w:t>Logistik / IT</w:t>
            </w:r>
          </w:p>
        </w:tc>
        <w:tc>
          <w:tcPr>
            <w:tcW w:type="dxa" w:w="3685"/>
            <w:tcMar>
              <w:top w:w="90" w:type="dxa"/>
              <w:start w:w="90" w:type="dxa"/>
              <w:bottom w:w="90" w:type="dxa"/>
              <w:end w:w="90" w:type="dxa"/>
            </w:tcMar>
            <w:vAlign w:val="top"/>
            <w:shd w:fill="F5F7F8"/>
          </w:tcPr>
          <w:p>
            <w:pPr>
              <w:spacing w:after="0"/>
            </w:pPr>
            <w:r>
              <w:rPr>
                <w:sz w:val="16"/>
              </w:rPr>
              <w:t>Geräteliste und Zugriffsreport</w:t>
            </w:r>
          </w:p>
        </w:tc>
      </w:tr>
      <w:tr>
        <w:tc>
          <w:tcPr>
            <w:tcW w:type="dxa" w:w="2948"/>
            <w:tcMar>
              <w:top w:w="90" w:type="dxa"/>
              <w:start w:w="90" w:type="dxa"/>
              <w:bottom w:w="90" w:type="dxa"/>
              <w:end w:w="90" w:type="dxa"/>
            </w:tcMar>
            <w:vAlign w:val="top"/>
          </w:tcPr>
          <w:p>
            <w:pPr>
              <w:spacing w:after="0"/>
            </w:pPr>
            <w:r>
              <w:rPr>
                <w:sz w:val="16"/>
              </w:rPr>
              <w:t>Restore-Nachtest</w:t>
            </w:r>
          </w:p>
        </w:tc>
        <w:tc>
          <w:tcPr>
            <w:tcW w:type="dxa" w:w="1984"/>
            <w:tcMar>
              <w:top w:w="90" w:type="dxa"/>
              <w:start w:w="90" w:type="dxa"/>
              <w:bottom w:w="90" w:type="dxa"/>
              <w:end w:w="90" w:type="dxa"/>
            </w:tcMar>
            <w:vAlign w:val="top"/>
          </w:tcPr>
          <w:p>
            <w:pPr>
              <w:spacing w:after="0"/>
            </w:pPr>
            <w:r>
              <w:rPr>
                <w:sz w:val="16"/>
              </w:rPr>
              <w:t>10. Juni 2026</w:t>
            </w:r>
          </w:p>
        </w:tc>
        <w:tc>
          <w:tcPr>
            <w:tcW w:type="dxa" w:w="2268"/>
            <w:tcMar>
              <w:top w:w="90" w:type="dxa"/>
              <w:start w:w="90" w:type="dxa"/>
              <w:bottom w:w="90" w:type="dxa"/>
              <w:end w:w="90" w:type="dxa"/>
            </w:tcMar>
            <w:vAlign w:val="top"/>
          </w:tcPr>
          <w:p>
            <w:pPr>
              <w:spacing w:after="0"/>
            </w:pPr>
            <w:r>
              <w:rPr>
                <w:sz w:val="16"/>
              </w:rPr>
              <w:t>IT Operations</w:t>
            </w:r>
          </w:p>
        </w:tc>
        <w:tc>
          <w:tcPr>
            <w:tcW w:type="dxa" w:w="3685"/>
            <w:tcMar>
              <w:top w:w="90" w:type="dxa"/>
              <w:start w:w="90" w:type="dxa"/>
              <w:bottom w:w="90" w:type="dxa"/>
              <w:end w:w="90" w:type="dxa"/>
            </w:tcMar>
            <w:vAlign w:val="top"/>
          </w:tcPr>
          <w:p>
            <w:pPr>
              <w:spacing w:after="0"/>
            </w:pPr>
            <w:r>
              <w:rPr>
                <w:sz w:val="16"/>
              </w:rPr>
              <w:t>Messwerte je System und Abbruchprotokoll</w:t>
            </w:r>
          </w:p>
        </w:tc>
      </w:tr>
      <w:tr>
        <w:tc>
          <w:tcPr>
            <w:tcW w:type="dxa" w:w="2948"/>
            <w:tcMar>
              <w:top w:w="90" w:type="dxa"/>
              <w:start w:w="90" w:type="dxa"/>
              <w:bottom w:w="90" w:type="dxa"/>
              <w:end w:w="90" w:type="dxa"/>
            </w:tcMar>
            <w:vAlign w:val="top"/>
            <w:shd w:fill="F5F7F8"/>
          </w:tcPr>
          <w:p>
            <w:pPr>
              <w:spacing w:after="0"/>
            </w:pPr>
            <w:r>
              <w:rPr>
                <w:sz w:val="16"/>
              </w:rPr>
              <w:t>Vorstandsvorlage</w:t>
            </w:r>
          </w:p>
        </w:tc>
        <w:tc>
          <w:tcPr>
            <w:tcW w:type="dxa" w:w="1984"/>
            <w:tcMar>
              <w:top w:w="90" w:type="dxa"/>
              <w:start w:w="90" w:type="dxa"/>
              <w:bottom w:w="90" w:type="dxa"/>
              <w:end w:w="90" w:type="dxa"/>
            </w:tcMar>
            <w:vAlign w:val="top"/>
            <w:shd w:fill="F5F7F8"/>
          </w:tcPr>
          <w:p>
            <w:pPr>
              <w:spacing w:after="0"/>
            </w:pPr>
            <w:r>
              <w:rPr>
                <w:sz w:val="16"/>
              </w:rPr>
              <w:t>11. Juni 2026, 12:00 Uhr</w:t>
            </w:r>
          </w:p>
        </w:tc>
        <w:tc>
          <w:tcPr>
            <w:tcW w:type="dxa" w:w="2268"/>
            <w:tcMar>
              <w:top w:w="90" w:type="dxa"/>
              <w:start w:w="90" w:type="dxa"/>
              <w:bottom w:w="90" w:type="dxa"/>
              <w:end w:w="90" w:type="dxa"/>
            </w:tcMar>
            <w:vAlign w:val="top"/>
            <w:shd w:fill="F5F7F8"/>
          </w:tcPr>
          <w:p>
            <w:pPr>
              <w:spacing w:after="0"/>
            </w:pPr>
            <w:r>
              <w:rPr>
                <w:sz w:val="16"/>
              </w:rPr>
              <w:t>CISO / Recht</w:t>
            </w:r>
          </w:p>
        </w:tc>
        <w:tc>
          <w:tcPr>
            <w:tcW w:type="dxa" w:w="3685"/>
            <w:tcMar>
              <w:top w:w="90" w:type="dxa"/>
              <w:start w:w="90" w:type="dxa"/>
              <w:bottom w:w="90" w:type="dxa"/>
              <w:end w:w="90" w:type="dxa"/>
            </w:tcMar>
            <w:vAlign w:val="top"/>
            <w:shd w:fill="F5F7F8"/>
          </w:tcPr>
          <w:p>
            <w:pPr>
              <w:spacing w:after="0"/>
            </w:pPr>
            <w:r>
              <w:rPr>
                <w:sz w:val="16"/>
              </w:rPr>
              <w:t>Version 1.0 mit Quellenanhang</w:t>
            </w:r>
          </w:p>
        </w:tc>
      </w:tr>
      <w:tr>
        <w:tc>
          <w:tcPr>
            <w:tcW w:type="dxa" w:w="2948"/>
            <w:tcMar>
              <w:top w:w="90" w:type="dxa"/>
              <w:start w:w="90" w:type="dxa"/>
              <w:bottom w:w="90" w:type="dxa"/>
              <w:end w:w="90" w:type="dxa"/>
            </w:tcMar>
            <w:vAlign w:val="top"/>
          </w:tcPr>
          <w:p>
            <w:pPr>
              <w:spacing w:after="0"/>
            </w:pPr>
            <w:r>
              <w:rPr>
                <w:sz w:val="16"/>
              </w:rPr>
              <w:t>Firmware-Signierung</w:t>
            </w:r>
          </w:p>
        </w:tc>
        <w:tc>
          <w:tcPr>
            <w:tcW w:type="dxa" w:w="1984"/>
            <w:tcMar>
              <w:top w:w="90" w:type="dxa"/>
              <w:start w:w="90" w:type="dxa"/>
              <w:bottom w:w="90" w:type="dxa"/>
              <w:end w:w="90" w:type="dxa"/>
            </w:tcMar>
            <w:vAlign w:val="top"/>
          </w:tcPr>
          <w:p>
            <w:pPr>
              <w:spacing w:after="0"/>
            </w:pPr>
            <w:r>
              <w:rPr>
                <w:sz w:val="16"/>
              </w:rPr>
              <w:t>16. Juni 2026</w:t>
            </w:r>
          </w:p>
        </w:tc>
        <w:tc>
          <w:tcPr>
            <w:tcW w:type="dxa" w:w="2268"/>
            <w:tcMar>
              <w:top w:w="90" w:type="dxa"/>
              <w:start w:w="90" w:type="dxa"/>
              <w:bottom w:w="90" w:type="dxa"/>
              <w:end w:w="90" w:type="dxa"/>
            </w:tcMar>
            <w:vAlign w:val="top"/>
          </w:tcPr>
          <w:p>
            <w:pPr>
              <w:spacing w:after="0"/>
            </w:pPr>
            <w:r>
              <w:rPr>
                <w:sz w:val="16"/>
              </w:rPr>
              <w:t>Engineering</w:t>
            </w:r>
          </w:p>
        </w:tc>
        <w:tc>
          <w:tcPr>
            <w:tcW w:type="dxa" w:w="3685"/>
            <w:tcMar>
              <w:top w:w="90" w:type="dxa"/>
              <w:start w:w="90" w:type="dxa"/>
              <w:bottom w:w="90" w:type="dxa"/>
              <w:end w:w="90" w:type="dxa"/>
            </w:tcMar>
            <w:vAlign w:val="top"/>
          </w:tcPr>
          <w:p>
            <w:pPr>
              <w:spacing w:after="0"/>
            </w:pPr>
            <w:r>
              <w:rPr>
                <w:sz w:val="16"/>
              </w:rPr>
              <w:t>Signierter Testbuild und Rollbackplan</w:t>
            </w:r>
          </w:p>
        </w:tc>
      </w:tr>
    </w:tbl>
    <w:p>
      <w:pPr>
        <w:spacing w:after="20"/>
      </w:pPr>
    </w:p>
    <w:p>
      <w:pPr>
        <w:pStyle w:val="Heading1"/>
      </w:pPr>
      <w:r>
        <w:t>3. Offene Abweichungen</w:t>
      </w:r>
    </w:p>
    <w:p>
      <w:pPr>
        <w:widowControl/>
      </w:pPr>
      <w:r>
        <w:t>Die Assetliste zählt acht AirTags, die Betriebsratsmail spricht von acht Fahrzeugen. Tatsächlich sollen nach Auskunft der Logistik die Tags an Containern und nicht dauerhaft an Fahrzeugen befestigt sein. Seriennummern und Ausgabeprotokolle entscheiden über die Zuordnung.</w:t>
      </w:r>
    </w:p>
    <w:p>
      <w:pPr>
        <w:widowControl/>
      </w:pPr>
      <w:r>
        <w:t>Der interne Bericht nennt eine MFA-Abdeckung von 95 Prozent; das technische Exportblatt weist für Service- und Wartungskonten nur 70 Prozent aus. Zähler, Nenner und Ausnahmen sind zu dokumentieren.</w:t>
      </w:r>
    </w:p>
    <w:p>
      <w:pPr>
        <w:widowControl/>
      </w:pPr>
      <w:r>
        <w:t>Der Dienstleister bezeichnet den VPN-Zugang als für die SLA-Erfüllung erforderlich. Ein konkreter Wartungsauftrag für den Login am 7. Mai liegt bislang nicht vor.</w:t>
      </w:r>
    </w:p>
    <w:p>
      <w:pPr>
        <w:keepLines/>
        <w:spacing w:before="120"/>
      </w:pPr>
      <w:r>
        <w:rPr>
          <w:b/>
        </w:rPr>
        <w:t>Lisa Wenstedt · Rechtsanwältin · Technische Gegenkontrolle durch Marlene Seifert, CISO</w:t>
      </w:r>
    </w:p>
    <w:sectPr w:rsidR="00FC693F" w:rsidRPr="0006063C" w:rsidSect="00034616">
      <w:footerReference w:type="default" r:id="rId9"/>
      <w:pgSz w:w="11906" w:h="16838"/>
      <w:pgMar w:top="1247" w:right="1134" w:bottom="1020" w:left="1191"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59636B"/>
        <w:sz w:val="16"/>
      </w:rPr>
      <w:t xml:space="preserve">BRENNECKE · WENSTEDT RECHTSANWÄLTE · BW-318/26-IT · Seite </w:t>
    </w: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2026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E668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b/>
      <w:color w:val="17324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