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6520"/>
        <w:gridCol w:w="2948"/>
      </w:tblGrid>
      <w:tr>
        <w:tc>
          <w:tcPr>
            <w:tcW w:type="dxa" w:w="4790"/>
            <w:tcMar>
              <w:top w:w="0" w:type="dxa"/>
              <w:start w:w="0" w:type="dxa"/>
              <w:bottom w:w="80" w:type="dxa"/>
              <w:end w:w="80" w:type="dxa"/>
            </w:tcMar>
          </w:tcPr>
          <w:p>
            <w:pPr>
              <w:spacing w:after="20"/>
            </w:pPr>
            <w:r>
              <w:rPr>
                <w:b/>
                <w:color w:val="17324D"/>
                <w:sz w:val="24"/>
              </w:rPr>
              <w:t>LAHNWERKE MASCHINENBAU AG</w:t>
            </w:r>
          </w:p>
          <w:p>
            <w:pPr>
              <w:spacing w:after="0"/>
            </w:pPr>
            <w:r>
              <w:rPr>
                <w:color w:val="59636B"/>
                <w:sz w:val="16"/>
              </w:rPr>
              <w:t>Werkstraße 140 · 35576 Wetzlar · Telefon 06441 902 0 · vorstand@lahnwerke.de</w:t>
            </w:r>
          </w:p>
          <w:p>
            <w:pPr>
              <w:spacing w:after="0"/>
            </w:pPr>
            <w:r>
              <w:rPr>
                <w:color w:val="59636B"/>
                <w:sz w:val="16"/>
              </w:rPr>
              <w:t>Amtsgericht Wetzlar HRB 7821 · Vorstand Henrike Faust und Johannes Riedel</w:t>
            </w:r>
          </w:p>
        </w:tc>
        <w:tc>
          <w:tcPr>
            <w:tcW w:type="dxa" w:w="4790"/>
            <w:tcMar>
              <w:top w:w="0" w:type="dxa"/>
              <w:start w:w="80" w:type="dxa"/>
              <w:bottom w:w="80" w:type="dxa"/>
              <w:end w:w="0" w:type="dxa"/>
            </w:tcMar>
          </w:tcPr>
          <w:p>
            <w:pPr>
              <w:jc w:val="right"/>
            </w:pPr>
            <w:r>
              <w:rPr>
                <w:b/>
                <w:color w:val="2E668B"/>
                <w:sz w:val="18"/>
              </w:rPr>
              <w:t>VORSTANDSVORLAGE · INTERN</w:t>
            </w:r>
          </w:p>
        </w:tc>
      </w:tr>
    </w:tbl>
    <w:p>
      <w:pPr>
        <w:spacing w:after="160"/>
        <w:pBdr>
          <w:bottom w:val="single" w:sz="10" w:space="1" w:color="2E668B"/>
        </w:pBdr>
      </w:pPr>
    </w:p>
    <w:p>
      <w:pPr>
        <w:pStyle w:val="Title"/>
      </w:pPr>
      <w:r>
        <w:t>Beschlussfelder Cyber- und Betriebsstabilität</w:t>
      </w:r>
    </w:p>
    <w:p>
      <w:pPr>
        <w:spacing w:after="180"/>
      </w:pPr>
      <w:r>
        <w:rPr>
          <w:b/>
          <w:color w:val="2E668B"/>
        </w:rPr>
        <w:t>Vorstandssitzung am 12. Juni 2026</w:t>
      </w:r>
    </w:p>
    <w:tbl>
      <w:tblPr>
        <w:tblW w:type="auto" w:w="0"/>
        <w:tblLayout w:type="fixed"/>
        <w:tblLook w:firstColumn="1" w:firstRow="1" w:lastColumn="0" w:lastRow="0" w:noHBand="0" w:noVBand="1" w:val="04A0"/>
      </w:tblPr>
      <w:tblGrid>
        <w:gridCol w:w="2268"/>
        <w:gridCol w:w="7200"/>
      </w:tblGrid>
      <w:tr>
        <w:tc>
          <w:tcPr>
            <w:tcW w:type="dxa" w:w="2268"/>
            <w:shd w:fill="EAF1F5"/>
            <w:tcMar>
              <w:top w:w="90" w:type="dxa"/>
              <w:start w:w="90" w:type="dxa"/>
              <w:bottom w:w="90" w:type="dxa"/>
              <w:end w:w="90" w:type="dxa"/>
            </w:tcMar>
            <w:vAlign w:val="center"/>
          </w:tcPr>
          <w:p>
            <w:pPr>
              <w:spacing w:after="0"/>
            </w:pPr>
            <w:r>
              <w:rPr>
                <w:b/>
                <w:sz w:val="18"/>
              </w:rPr>
              <w:t>Vorlage</w:t>
            </w:r>
          </w:p>
        </w:tc>
        <w:tc>
          <w:tcPr>
            <w:tcW w:type="dxa" w:w="7200"/>
            <w:tcMar>
              <w:top w:w="90" w:type="dxa"/>
              <w:start w:w="90" w:type="dxa"/>
              <w:bottom w:w="90" w:type="dxa"/>
              <w:end w:w="90" w:type="dxa"/>
            </w:tcMar>
            <w:vAlign w:val="center"/>
          </w:tcPr>
          <w:p>
            <w:pPr>
              <w:spacing w:after="0"/>
            </w:pPr>
            <w:r>
              <w:rPr>
                <w:sz w:val="18"/>
              </w:rPr>
              <w:t>Marlene Seifert, CISO; Dr. Clara Lehnert, Leitung Recht</w:t>
            </w:r>
          </w:p>
        </w:tc>
      </w:tr>
      <w:tr>
        <w:tc>
          <w:tcPr>
            <w:tcW w:type="dxa" w:w="2268"/>
            <w:shd w:fill="EAF1F5"/>
            <w:tcMar>
              <w:top w:w="90" w:type="dxa"/>
              <w:start w:w="90" w:type="dxa"/>
              <w:bottom w:w="90" w:type="dxa"/>
              <w:end w:w="90" w:type="dxa"/>
            </w:tcMar>
            <w:vAlign w:val="center"/>
          </w:tcPr>
          <w:p>
            <w:pPr>
              <w:spacing w:after="0"/>
            </w:pPr>
            <w:r>
              <w:rPr>
                <w:b/>
                <w:sz w:val="18"/>
              </w:rPr>
              <w:t>Stand</w:t>
            </w:r>
          </w:p>
        </w:tc>
        <w:tc>
          <w:tcPr>
            <w:tcW w:type="dxa" w:w="7200"/>
            <w:tcMar>
              <w:top w:w="90" w:type="dxa"/>
              <w:start w:w="90" w:type="dxa"/>
              <w:bottom w:w="90" w:type="dxa"/>
              <w:end w:w="90" w:type="dxa"/>
            </w:tcMar>
            <w:vAlign w:val="center"/>
          </w:tcPr>
          <w:p>
            <w:pPr>
              <w:spacing w:after="0"/>
            </w:pPr>
            <w:r>
              <w:rPr>
                <w:sz w:val="18"/>
              </w:rPr>
              <w:t>4. Juni 2026, 19:05 Uhr</w:t>
            </w:r>
          </w:p>
        </w:tc>
      </w:tr>
      <w:tr>
        <w:tc>
          <w:tcPr>
            <w:tcW w:type="dxa" w:w="2268"/>
            <w:shd w:fill="EAF1F5"/>
            <w:tcMar>
              <w:top w:w="90" w:type="dxa"/>
              <w:start w:w="90" w:type="dxa"/>
              <w:bottom w:w="90" w:type="dxa"/>
              <w:end w:w="90" w:type="dxa"/>
            </w:tcMar>
            <w:vAlign w:val="center"/>
          </w:tcPr>
          <w:p>
            <w:pPr>
              <w:spacing w:after="0"/>
            </w:pPr>
            <w:r>
              <w:rPr>
                <w:b/>
                <w:sz w:val="18"/>
              </w:rPr>
              <w:t>Budgetrahmen</w:t>
            </w:r>
          </w:p>
        </w:tc>
        <w:tc>
          <w:tcPr>
            <w:tcW w:type="dxa" w:w="7200"/>
            <w:tcMar>
              <w:top w:w="90" w:type="dxa"/>
              <w:start w:w="90" w:type="dxa"/>
              <w:bottom w:w="90" w:type="dxa"/>
              <w:end w:w="90" w:type="dxa"/>
            </w:tcMar>
            <w:vAlign w:val="center"/>
          </w:tcPr>
          <w:p>
            <w:pPr>
              <w:spacing w:after="0"/>
            </w:pPr>
            <w:r>
              <w:rPr>
                <w:sz w:val="18"/>
              </w:rPr>
              <w:t>Bis 280000 EUR für Sofortmaßnahmen; Jahresprogramm gesondert</w:t>
            </w:r>
          </w:p>
        </w:tc>
      </w:tr>
      <w:tr>
        <w:tc>
          <w:tcPr>
            <w:tcW w:type="dxa" w:w="2268"/>
            <w:shd w:fill="EAF1F5"/>
            <w:tcMar>
              <w:top w:w="90" w:type="dxa"/>
              <w:start w:w="90" w:type="dxa"/>
              <w:bottom w:w="90" w:type="dxa"/>
              <w:end w:w="90" w:type="dxa"/>
            </w:tcMar>
            <w:vAlign w:val="center"/>
          </w:tcPr>
          <w:p>
            <w:pPr>
              <w:spacing w:after="0"/>
            </w:pPr>
            <w:r>
              <w:rPr>
                <w:b/>
                <w:sz w:val="18"/>
              </w:rPr>
              <w:t>Anlagen</w:t>
            </w:r>
          </w:p>
        </w:tc>
        <w:tc>
          <w:tcPr>
            <w:tcW w:type="dxa" w:w="7200"/>
            <w:tcMar>
              <w:top w:w="90" w:type="dxa"/>
              <w:start w:w="90" w:type="dxa"/>
              <w:bottom w:w="90" w:type="dxa"/>
              <w:end w:w="90" w:type="dxa"/>
            </w:tcMar>
            <w:vAlign w:val="center"/>
          </w:tcPr>
          <w:p>
            <w:pPr>
              <w:spacing w:after="0"/>
            </w:pPr>
            <w:r>
              <w:rPr>
                <w:sz w:val="18"/>
              </w:rPr>
              <w:t>Risikoregister, Restore-Protokoll, Lieferantenfragebogen, PKI-Notiz, Betriebsratsmail</w:t>
            </w:r>
          </w:p>
        </w:tc>
      </w:tr>
    </w:tbl>
    <w:p>
      <w:pPr>
        <w:spacing w:after="20"/>
      </w:pPr>
    </w:p>
    <w:p>
      <w:pPr>
        <w:pStyle w:val="Heading1"/>
      </w:pPr>
      <w:r>
        <w:t>1. Beschlussbedarf</w:t>
      </w:r>
    </w:p>
    <w:tbl>
      <w:tblPr>
        <w:tblStyle w:val="TableGrid"/>
        <w:tblW w:type="auto" w:w="0"/>
        <w:tblLayout w:type="fixed"/>
        <w:tblLook w:firstColumn="1" w:firstRow="1" w:lastColumn="0" w:lastRow="0" w:noHBand="0" w:noVBand="1" w:val="04A0"/>
      </w:tblPr>
      <w:tblGrid>
        <w:gridCol w:w="2268"/>
        <w:gridCol w:w="2438"/>
        <w:gridCol w:w="2551"/>
        <w:gridCol w:w="2381"/>
      </w:tblGrid>
      <w:tr>
        <w:tc>
          <w:tcPr>
            <w:tcW w:type="dxa" w:w="2395"/>
            <w:shd w:fill="17324D"/>
            <w:tcMar>
              <w:top w:w="90" w:type="dxa"/>
              <w:start w:w="90" w:type="dxa"/>
              <w:bottom w:w="90" w:type="dxa"/>
              <w:end w:w="90" w:type="dxa"/>
            </w:tcMar>
          </w:tcPr>
          <w:p>
            <w:r>
              <w:rPr>
                <w:b/>
                <w:color w:val="FFFFFF"/>
                <w:sz w:val="17"/>
              </w:rPr>
              <w:t>Beschlussfeld</w:t>
            </w:r>
          </w:p>
        </w:tc>
        <w:tc>
          <w:tcPr>
            <w:tcW w:type="dxa" w:w="2395"/>
            <w:shd w:fill="17324D"/>
            <w:tcMar>
              <w:top w:w="90" w:type="dxa"/>
              <w:start w:w="90" w:type="dxa"/>
              <w:bottom w:w="90" w:type="dxa"/>
              <w:end w:w="90" w:type="dxa"/>
            </w:tcMar>
          </w:tcPr>
          <w:p>
            <w:r>
              <w:rPr>
                <w:b/>
                <w:color w:val="FFFFFF"/>
                <w:sz w:val="17"/>
              </w:rPr>
              <w:t>Variante A</w:t>
            </w:r>
          </w:p>
        </w:tc>
        <w:tc>
          <w:tcPr>
            <w:tcW w:type="dxa" w:w="2395"/>
            <w:shd w:fill="17324D"/>
            <w:tcMar>
              <w:top w:w="90" w:type="dxa"/>
              <w:start w:w="90" w:type="dxa"/>
              <w:bottom w:w="90" w:type="dxa"/>
              <w:end w:w="90" w:type="dxa"/>
            </w:tcMar>
          </w:tcPr>
          <w:p>
            <w:r>
              <w:rPr>
                <w:b/>
                <w:color w:val="FFFFFF"/>
                <w:sz w:val="17"/>
              </w:rPr>
              <w:t>Variante B</w:t>
            </w:r>
          </w:p>
        </w:tc>
        <w:tc>
          <w:tcPr>
            <w:tcW w:type="dxa" w:w="2395"/>
            <w:shd w:fill="17324D"/>
            <w:tcMar>
              <w:top w:w="90" w:type="dxa"/>
              <w:start w:w="90" w:type="dxa"/>
              <w:bottom w:w="90" w:type="dxa"/>
              <w:end w:w="90" w:type="dxa"/>
            </w:tcMar>
          </w:tcPr>
          <w:p>
            <w:r>
              <w:rPr>
                <w:b/>
                <w:color w:val="FFFFFF"/>
                <w:sz w:val="17"/>
              </w:rPr>
              <w:t>Fehlender Nachweis</w:t>
            </w:r>
          </w:p>
        </w:tc>
      </w:tr>
      <w:tr>
        <w:tc>
          <w:tcPr>
            <w:tcW w:type="dxa" w:w="2268"/>
            <w:tcMar>
              <w:top w:w="90" w:type="dxa"/>
              <w:start w:w="90" w:type="dxa"/>
              <w:bottom w:w="90" w:type="dxa"/>
              <w:end w:w="90" w:type="dxa"/>
            </w:tcMar>
            <w:vAlign w:val="top"/>
          </w:tcPr>
          <w:p>
            <w:pPr>
              <w:spacing w:after="0"/>
            </w:pPr>
            <w:r>
              <w:rPr>
                <w:sz w:val="16"/>
              </w:rPr>
              <w:t>Lieferantenfernzugriff</w:t>
            </w:r>
          </w:p>
        </w:tc>
        <w:tc>
          <w:tcPr>
            <w:tcW w:type="dxa" w:w="2438"/>
            <w:tcMar>
              <w:top w:w="90" w:type="dxa"/>
              <w:start w:w="90" w:type="dxa"/>
              <w:bottom w:w="90" w:type="dxa"/>
              <w:end w:w="90" w:type="dxa"/>
            </w:tcMar>
            <w:vAlign w:val="top"/>
          </w:tcPr>
          <w:p>
            <w:pPr>
              <w:spacing w:after="0"/>
            </w:pPr>
            <w:r>
              <w:rPr>
                <w:sz w:val="16"/>
              </w:rPr>
              <w:t>Zeitlich begrenzter Zugang je Ticket mit MFA und Aufzeichnung</w:t>
            </w:r>
          </w:p>
        </w:tc>
        <w:tc>
          <w:tcPr>
            <w:tcW w:type="dxa" w:w="2551"/>
            <w:tcMar>
              <w:top w:w="90" w:type="dxa"/>
              <w:start w:w="90" w:type="dxa"/>
              <w:bottom w:w="90" w:type="dxa"/>
              <w:end w:w="90" w:type="dxa"/>
            </w:tcMar>
            <w:vAlign w:val="top"/>
          </w:tcPr>
          <w:p>
            <w:pPr>
              <w:spacing w:after="0"/>
            </w:pPr>
            <w:r>
              <w:rPr>
                <w:sz w:val="16"/>
              </w:rPr>
              <w:t>Dauerzugang nur in isoliertem Wartungsnetz</w:t>
            </w:r>
          </w:p>
        </w:tc>
        <w:tc>
          <w:tcPr>
            <w:tcW w:type="dxa" w:w="2381"/>
            <w:tcMar>
              <w:top w:w="90" w:type="dxa"/>
              <w:start w:w="90" w:type="dxa"/>
              <w:bottom w:w="90" w:type="dxa"/>
              <w:end w:w="90" w:type="dxa"/>
            </w:tcMar>
            <w:vAlign w:val="top"/>
          </w:tcPr>
          <w:p>
            <w:pPr>
              <w:spacing w:after="0"/>
            </w:pPr>
            <w:r>
              <w:rPr>
                <w:sz w:val="16"/>
              </w:rPr>
              <w:t>Technisches Konzept und SLA-Angebot</w:t>
            </w:r>
          </w:p>
        </w:tc>
      </w:tr>
      <w:tr>
        <w:tc>
          <w:tcPr>
            <w:tcW w:type="dxa" w:w="2268"/>
            <w:tcMar>
              <w:top w:w="90" w:type="dxa"/>
              <w:start w:w="90" w:type="dxa"/>
              <w:bottom w:w="90" w:type="dxa"/>
              <w:end w:w="90" w:type="dxa"/>
            </w:tcMar>
            <w:vAlign w:val="top"/>
            <w:shd w:fill="F5F7F8"/>
          </w:tcPr>
          <w:p>
            <w:pPr>
              <w:spacing w:after="0"/>
            </w:pPr>
            <w:r>
              <w:rPr>
                <w:sz w:val="16"/>
              </w:rPr>
              <w:t>Slack</w:t>
            </w:r>
          </w:p>
        </w:tc>
        <w:tc>
          <w:tcPr>
            <w:tcW w:type="dxa" w:w="2438"/>
            <w:tcMar>
              <w:top w:w="90" w:type="dxa"/>
              <w:start w:w="90" w:type="dxa"/>
              <w:bottom w:w="90" w:type="dxa"/>
              <w:end w:w="90" w:type="dxa"/>
            </w:tcMar>
            <w:vAlign w:val="top"/>
            <w:shd w:fill="F5F7F8"/>
          </w:tcPr>
          <w:p>
            <w:pPr>
              <w:spacing w:after="0"/>
            </w:pPr>
            <w:r>
              <w:rPr>
                <w:sz w:val="16"/>
              </w:rPr>
              <w:t>Externe Kanäle nur für zwei Pilotkunden</w:t>
            </w:r>
          </w:p>
        </w:tc>
        <w:tc>
          <w:tcPr>
            <w:tcW w:type="dxa" w:w="2551"/>
            <w:tcMar>
              <w:top w:w="90" w:type="dxa"/>
              <w:start w:w="90" w:type="dxa"/>
              <w:bottom w:w="90" w:type="dxa"/>
              <w:end w:w="90" w:type="dxa"/>
            </w:tcMar>
            <w:vAlign w:val="top"/>
            <w:shd w:fill="F5F7F8"/>
          </w:tcPr>
          <w:p>
            <w:pPr>
              <w:spacing w:after="0"/>
            </w:pPr>
            <w:r>
              <w:rPr>
                <w:sz w:val="16"/>
              </w:rPr>
              <w:t>Rollout bis Abschluss der Kontrollen zurückstellen</w:t>
            </w:r>
          </w:p>
        </w:tc>
        <w:tc>
          <w:tcPr>
            <w:tcW w:type="dxa" w:w="2381"/>
            <w:tcMar>
              <w:top w:w="90" w:type="dxa"/>
              <w:start w:w="90" w:type="dxa"/>
              <w:bottom w:w="90" w:type="dxa"/>
              <w:end w:w="90" w:type="dxa"/>
            </w:tcMar>
            <w:vAlign w:val="top"/>
            <w:shd w:fill="F5F7F8"/>
          </w:tcPr>
          <w:p>
            <w:pPr>
              <w:spacing w:after="0"/>
            </w:pPr>
            <w:r>
              <w:rPr>
                <w:sz w:val="16"/>
              </w:rPr>
              <w:t>Adminexport, Datenklassen und Exit-Prozess</w:t>
            </w:r>
          </w:p>
        </w:tc>
      </w:tr>
      <w:tr>
        <w:tc>
          <w:tcPr>
            <w:tcW w:type="dxa" w:w="2268"/>
            <w:tcMar>
              <w:top w:w="90" w:type="dxa"/>
              <w:start w:w="90" w:type="dxa"/>
              <w:bottom w:w="90" w:type="dxa"/>
              <w:end w:w="90" w:type="dxa"/>
            </w:tcMar>
            <w:vAlign w:val="top"/>
          </w:tcPr>
          <w:p>
            <w:pPr>
              <w:spacing w:after="0"/>
            </w:pPr>
            <w:r>
              <w:rPr>
                <w:sz w:val="16"/>
              </w:rPr>
              <w:t>Ortung und Geräteverwaltung</w:t>
            </w:r>
          </w:p>
        </w:tc>
        <w:tc>
          <w:tcPr>
            <w:tcW w:type="dxa" w:w="2438"/>
            <w:tcMar>
              <w:top w:w="90" w:type="dxa"/>
              <w:start w:w="90" w:type="dxa"/>
              <w:bottom w:w="90" w:type="dxa"/>
              <w:end w:w="90" w:type="dxa"/>
            </w:tcMar>
            <w:vAlign w:val="top"/>
          </w:tcPr>
          <w:p>
            <w:pPr>
              <w:spacing w:after="0"/>
            </w:pPr>
            <w:r>
              <w:rPr>
                <w:sz w:val="16"/>
              </w:rPr>
              <w:t>Weiterbetrieb im bisherigen Umfang mit Zugriffsbeschränkung</w:t>
            </w:r>
          </w:p>
        </w:tc>
        <w:tc>
          <w:tcPr>
            <w:tcW w:type="dxa" w:w="2551"/>
            <w:tcMar>
              <w:top w:w="90" w:type="dxa"/>
              <w:start w:w="90" w:type="dxa"/>
              <w:bottom w:w="90" w:type="dxa"/>
              <w:end w:w="90" w:type="dxa"/>
            </w:tcMar>
            <w:vAlign w:val="top"/>
          </w:tcPr>
          <w:p>
            <w:pPr>
              <w:spacing w:after="0"/>
            </w:pPr>
            <w:r>
              <w:rPr>
                <w:sz w:val="16"/>
              </w:rPr>
              <w:t>Vorübergehende Deaktivierung neuer Geräte</w:t>
            </w:r>
          </w:p>
        </w:tc>
        <w:tc>
          <w:tcPr>
            <w:tcW w:type="dxa" w:w="2381"/>
            <w:tcMar>
              <w:top w:w="90" w:type="dxa"/>
              <w:start w:w="90" w:type="dxa"/>
              <w:bottom w:w="90" w:type="dxa"/>
              <w:end w:w="90" w:type="dxa"/>
            </w:tcMar>
            <w:vAlign w:val="top"/>
          </w:tcPr>
          <w:p>
            <w:pPr>
              <w:spacing w:after="0"/>
            </w:pPr>
            <w:r>
              <w:rPr>
                <w:sz w:val="16"/>
              </w:rPr>
              <w:t>Inventar, Zweck, Rollen und Beteiligungsstand</w:t>
            </w:r>
          </w:p>
        </w:tc>
      </w:tr>
      <w:tr>
        <w:tc>
          <w:tcPr>
            <w:tcW w:type="dxa" w:w="2268"/>
            <w:tcMar>
              <w:top w:w="90" w:type="dxa"/>
              <w:start w:w="90" w:type="dxa"/>
              <w:bottom w:w="90" w:type="dxa"/>
              <w:end w:w="90" w:type="dxa"/>
            </w:tcMar>
            <w:vAlign w:val="top"/>
            <w:shd w:fill="F5F7F8"/>
          </w:tcPr>
          <w:p>
            <w:pPr>
              <w:spacing w:after="0"/>
            </w:pPr>
            <w:r>
              <w:rPr>
                <w:sz w:val="16"/>
              </w:rPr>
              <w:t>Wiederanlauf</w:t>
            </w:r>
          </w:p>
        </w:tc>
        <w:tc>
          <w:tcPr>
            <w:tcW w:type="dxa" w:w="2438"/>
            <w:tcMar>
              <w:top w:w="90" w:type="dxa"/>
              <w:start w:w="90" w:type="dxa"/>
              <w:bottom w:w="90" w:type="dxa"/>
              <w:end w:w="90" w:type="dxa"/>
            </w:tcMar>
            <w:vAlign w:val="top"/>
            <w:shd w:fill="F5F7F8"/>
          </w:tcPr>
          <w:p>
            <w:pPr>
              <w:spacing w:after="0"/>
            </w:pPr>
            <w:r>
              <w:rPr>
                <w:sz w:val="16"/>
              </w:rPr>
              <w:t>Vollständiger Nachtest binnen sieben Tagen</w:t>
            </w:r>
          </w:p>
        </w:tc>
        <w:tc>
          <w:tcPr>
            <w:tcW w:type="dxa" w:w="2551"/>
            <w:tcMar>
              <w:top w:w="90" w:type="dxa"/>
              <w:start w:w="90" w:type="dxa"/>
              <w:bottom w:w="90" w:type="dxa"/>
              <w:end w:w="90" w:type="dxa"/>
            </w:tcMar>
            <w:vAlign w:val="top"/>
            <w:shd w:fill="F5F7F8"/>
          </w:tcPr>
          <w:p>
            <w:pPr>
              <w:spacing w:after="0"/>
            </w:pPr>
            <w:r>
              <w:rPr>
                <w:sz w:val="16"/>
              </w:rPr>
              <w:t>Externe Übung mit Forensik und Fachbereichen</w:t>
            </w:r>
          </w:p>
        </w:tc>
        <w:tc>
          <w:tcPr>
            <w:tcW w:type="dxa" w:w="2381"/>
            <w:tcMar>
              <w:top w:w="90" w:type="dxa"/>
              <w:start w:w="90" w:type="dxa"/>
              <w:bottom w:w="90" w:type="dxa"/>
              <w:end w:w="90" w:type="dxa"/>
            </w:tcMar>
            <w:vAlign w:val="top"/>
            <w:shd w:fill="F5F7F8"/>
          </w:tcPr>
          <w:p>
            <w:pPr>
              <w:spacing w:after="0"/>
            </w:pPr>
            <w:r>
              <w:rPr>
                <w:sz w:val="16"/>
              </w:rPr>
              <w:t>Testplan, Systeme und Abnahmekriterien</w:t>
            </w:r>
          </w:p>
        </w:tc>
      </w:tr>
      <w:tr>
        <w:tc>
          <w:tcPr>
            <w:tcW w:type="dxa" w:w="2268"/>
            <w:tcMar>
              <w:top w:w="90" w:type="dxa"/>
              <w:start w:w="90" w:type="dxa"/>
              <w:bottom w:w="90" w:type="dxa"/>
              <w:end w:w="90" w:type="dxa"/>
            </w:tcMar>
            <w:vAlign w:val="top"/>
          </w:tcPr>
          <w:p>
            <w:pPr>
              <w:spacing w:after="0"/>
            </w:pPr>
            <w:r>
              <w:rPr>
                <w:sz w:val="16"/>
              </w:rPr>
              <w:t>Code Signing</w:t>
            </w:r>
          </w:p>
        </w:tc>
        <w:tc>
          <w:tcPr>
            <w:tcW w:type="dxa" w:w="2438"/>
            <w:tcMar>
              <w:top w:w="90" w:type="dxa"/>
              <w:start w:w="90" w:type="dxa"/>
              <w:bottom w:w="90" w:type="dxa"/>
              <w:end w:w="90" w:type="dxa"/>
            </w:tcMar>
            <w:vAlign w:val="top"/>
          </w:tcPr>
          <w:p>
            <w:pPr>
              <w:spacing w:after="0"/>
            </w:pPr>
            <w:r>
              <w:rPr>
                <w:sz w:val="16"/>
              </w:rPr>
              <w:t>Cloud-HSM als Sofortlösung</w:t>
            </w:r>
          </w:p>
        </w:tc>
        <w:tc>
          <w:tcPr>
            <w:tcW w:type="dxa" w:w="2551"/>
            <w:tcMar>
              <w:top w:w="90" w:type="dxa"/>
              <w:start w:w="90" w:type="dxa"/>
              <w:bottom w:w="90" w:type="dxa"/>
              <w:end w:w="90" w:type="dxa"/>
            </w:tcMar>
            <w:vAlign w:val="top"/>
          </w:tcPr>
          <w:p>
            <w:pPr>
              <w:spacing w:after="0"/>
            </w:pPr>
            <w:r>
              <w:rPr>
                <w:sz w:val="16"/>
              </w:rPr>
              <w:t>Physisches HSM mit Übergangszertifikat</w:t>
            </w:r>
          </w:p>
        </w:tc>
        <w:tc>
          <w:tcPr>
            <w:tcW w:type="dxa" w:w="2381"/>
            <w:tcMar>
              <w:top w:w="90" w:type="dxa"/>
              <w:start w:w="90" w:type="dxa"/>
              <w:bottom w:w="90" w:type="dxa"/>
              <w:end w:w="90" w:type="dxa"/>
            </w:tcMar>
            <w:vAlign w:val="top"/>
          </w:tcPr>
          <w:p>
            <w:pPr>
              <w:spacing w:after="0"/>
            </w:pPr>
            <w:r>
              <w:rPr>
                <w:sz w:val="16"/>
              </w:rPr>
              <w:t>Angebote, Migrations- und Rollbackplan</w:t>
            </w:r>
          </w:p>
        </w:tc>
      </w:tr>
    </w:tbl>
    <w:p>
      <w:pPr>
        <w:spacing w:after="20"/>
      </w:pPr>
    </w:p>
    <w:p>
      <w:pPr>
        <w:pStyle w:val="Heading1"/>
      </w:pPr>
      <w:r>
        <w:t>2. Tatsachenstand</w:t>
      </w:r>
    </w:p>
    <w:p>
      <w:pPr>
        <w:widowControl/>
      </w:pPr>
      <w:r>
        <w:t>Der Login vom 7. Mai ist als auffälliges Ereignis dokumentiert. Ob ein unbefugter Zugriff oder Datenabfluss vorlag, ist noch offen. Der ERP-Wiederanlauf wurde nicht erfolgreich abgeschlossen. Acht Ortungsgeräte sind in der Assetliste verzeichnet; ihre Zuordnung zu Containern oder Fahrzeugen ist noch zu bereinigen.</w:t>
      </w:r>
    </w:p>
    <w:p>
      <w:pPr>
        <w:widowControl/>
      </w:pPr>
      <w:r>
        <w:t>Für die Betroffenheits- und Pflichtenprüfung liegen Konzern- und Dienstedaten noch nicht vollständig vor. Die Vorlage trennt daher technische Sofortmaßnahmen von der abschließenden rechtlichen Einordnung.</w:t>
      </w:r>
    </w:p>
    <w:p>
      <w:pPr>
        <w:pStyle w:val="Heading1"/>
      </w:pPr>
      <w:r>
        <w:t>3. Beschlussprotokoll</w:t>
      </w:r>
    </w:p>
    <w:p>
      <w:pPr>
        <w:widowControl/>
      </w:pPr>
      <w:r>
        <w:t>Für jedes Beschlussfeld hält das Protokoll die gewählte Variante oder den abweichenden Wortlaut, den verantwortlichen Vorstand, den operativen Owner samt Vertretung, Termin und Abnahmetermin, den Erledigungsnachweis sowie das konkret verbleibende technische oder betriebliche Restrisiko fest.</w:t>
      </w:r>
    </w:p>
    <w:p>
      <w:pPr>
        <w:keepLines/>
        <w:spacing w:before="120"/>
      </w:pPr>
      <w:r>
        <w:rPr>
          <w:b/>
        </w:rPr>
        <w:t>Marlene Seifert · Chief Information Security Officer</w:t>
      </w:r>
    </w:p>
    <w:sectPr w:rsidR="00FC693F" w:rsidRPr="0006063C" w:rsidSect="00034616">
      <w:footerReference w:type="default" r:id="rId9"/>
      <w:pgSz w:w="11906" w:h="16838"/>
      <w:pgMar w:top="1247" w:right="1134" w:bottom="1020"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9636B"/>
        <w:sz w:val="16"/>
      </w:rPr>
      <w:t xml:space="preserve">LAHNWERKE MASCHINENBAU AG · LW-VS-2026-29 · Seite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6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66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32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