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6520"/>
        <w:gridCol w:w="2948"/>
      </w:tblGrid>
      <w:tr>
        <w:tc>
          <w:tcPr>
            <w:tcW w:type="dxa" w:w="4790"/>
            <w:tcMar>
              <w:top w:w="0" w:type="dxa"/>
              <w:start w:w="0" w:type="dxa"/>
              <w:bottom w:w="80" w:type="dxa"/>
              <w:end w:w="80" w:type="dxa"/>
            </w:tcMar>
          </w:tcPr>
          <w:p>
            <w:pPr>
              <w:spacing w:after="20"/>
            </w:pPr>
            <w:r>
              <w:rPr>
                <w:b/>
                <w:color w:val="17324D"/>
                <w:sz w:val="24"/>
              </w:rPr>
              <w:t>KANZLEI LINDEMARK · VERWALTUNGSRECHT</w:t>
            </w:r>
          </w:p>
          <w:p>
            <w:pPr>
              <w:spacing w:after="0"/>
            </w:pPr>
            <w:r>
              <w:rPr>
                <w:color w:val="59636B"/>
                <w:sz w:val="16"/>
              </w:rPr>
              <w:t>Aachener Straße 402 · 50933 Köln · Telefon 0221 949 27 80 · Fax 0221 949 27 89</w:t>
            </w:r>
          </w:p>
          <w:p>
            <w:pPr>
              <w:spacing w:after="0"/>
            </w:pPr>
            <w:r>
              <w:rPr>
                <w:color w:val="59636B"/>
                <w:sz w:val="16"/>
              </w:rPr>
              <w:t>post@lindemark-verwaltungsrecht.de · Fremdgeldkonto DE44 3704 0044 0531 9020 00</w:t>
            </w:r>
          </w:p>
        </w:tc>
        <w:tc>
          <w:tcPr>
            <w:tcW w:type="dxa" w:w="4790"/>
            <w:tcMar>
              <w:top w:w="0" w:type="dxa"/>
              <w:start w:w="80" w:type="dxa"/>
              <w:bottom w:w="80" w:type="dxa"/>
              <w:end w:w="0" w:type="dxa"/>
            </w:tcMar>
          </w:tcPr>
          <w:p>
            <w:pPr>
              <w:jc w:val="right"/>
            </w:pPr>
            <w:r>
              <w:rPr>
                <w:b/>
                <w:color w:val="2E668B"/>
                <w:sz w:val="18"/>
              </w:rPr>
              <w:t>MANDATSAUFNAHME</w:t>
            </w:r>
          </w:p>
        </w:tc>
      </w:tr>
    </w:tbl>
    <w:p>
      <w:pPr>
        <w:spacing w:after="160"/>
        <w:pBdr>
          <w:bottom w:val="single" w:sz="10" w:space="1" w:color="2E668B"/>
        </w:pBdr>
      </w:pPr>
    </w:p>
    <w:p>
      <w:pPr>
        <w:pStyle w:val="Title"/>
      </w:pPr>
      <w:r>
        <w:t>Mandatsaufnahme Jana Mondsee</w:t>
      </w:r>
    </w:p>
    <w:p>
      <w:pPr>
        <w:spacing w:after="180"/>
      </w:pPr>
      <w:r>
        <w:rPr>
          <w:b/>
          <w:color w:val="2E668B"/>
        </w:rPr>
        <w:t>Drittversuch Quantitative Methoden III · Bewertungs- und Täuschungsvorgang</w:t>
      </w:r>
    </w:p>
    <w:tbl>
      <w:tblPr>
        <w:tblW w:type="auto" w:w="0"/>
        <w:tblLayout w:type="fixed"/>
        <w:tblLook w:firstColumn="1" w:firstRow="1" w:lastColumn="0" w:lastRow="0" w:noHBand="0" w:noVBand="1" w:val="04A0"/>
      </w:tblPr>
      <w:tblGrid>
        <w:gridCol w:w="2268"/>
        <w:gridCol w:w="7200"/>
      </w:tblGrid>
      <w:tr>
        <w:tc>
          <w:tcPr>
            <w:tcW w:type="dxa" w:w="2268"/>
            <w:shd w:fill="EAF1F5"/>
            <w:tcMar>
              <w:top w:w="90" w:type="dxa"/>
              <w:start w:w="90" w:type="dxa"/>
              <w:bottom w:w="90" w:type="dxa"/>
              <w:end w:w="90" w:type="dxa"/>
            </w:tcMar>
            <w:vAlign w:val="center"/>
          </w:tcPr>
          <w:p>
            <w:pPr>
              <w:spacing w:after="0"/>
            </w:pPr>
            <w:r>
              <w:rPr>
                <w:b/>
                <w:sz w:val="18"/>
              </w:rPr>
              <w:t>Aufgenommen</w:t>
            </w:r>
          </w:p>
        </w:tc>
        <w:tc>
          <w:tcPr>
            <w:tcW w:type="dxa" w:w="7200"/>
            <w:tcMar>
              <w:top w:w="90" w:type="dxa"/>
              <w:start w:w="90" w:type="dxa"/>
              <w:bottom w:w="90" w:type="dxa"/>
              <w:end w:w="90" w:type="dxa"/>
            </w:tcMar>
            <w:vAlign w:val="center"/>
          </w:tcPr>
          <w:p>
            <w:pPr>
              <w:spacing w:after="0"/>
            </w:pPr>
            <w:r>
              <w:rPr>
                <w:sz w:val="18"/>
              </w:rPr>
              <w:t>27. Mai 2026, 14:10 Uhr, Kanzleitermin</w:t>
            </w:r>
          </w:p>
        </w:tc>
      </w:tr>
      <w:tr>
        <w:tc>
          <w:tcPr>
            <w:tcW w:type="dxa" w:w="2268"/>
            <w:shd w:fill="EAF1F5"/>
            <w:tcMar>
              <w:top w:w="90" w:type="dxa"/>
              <w:start w:w="90" w:type="dxa"/>
              <w:bottom w:w="90" w:type="dxa"/>
              <w:end w:w="90" w:type="dxa"/>
            </w:tcMar>
            <w:vAlign w:val="center"/>
          </w:tcPr>
          <w:p>
            <w:pPr>
              <w:spacing w:after="0"/>
            </w:pPr>
            <w:r>
              <w:rPr>
                <w:b/>
                <w:sz w:val="18"/>
              </w:rPr>
              <w:t>Mandantin</w:t>
            </w:r>
          </w:p>
        </w:tc>
        <w:tc>
          <w:tcPr>
            <w:tcW w:type="dxa" w:w="7200"/>
            <w:tcMar>
              <w:top w:w="90" w:type="dxa"/>
              <w:start w:w="90" w:type="dxa"/>
              <w:bottom w:w="90" w:type="dxa"/>
              <w:end w:w="90" w:type="dxa"/>
            </w:tcMar>
            <w:vAlign w:val="center"/>
          </w:tcPr>
          <w:p>
            <w:pPr>
              <w:spacing w:after="0"/>
            </w:pPr>
            <w:r>
              <w:rPr>
                <w:sz w:val="18"/>
              </w:rPr>
              <w:t>Jana Mondsee, Studentin im Masterstudiengang Data Governance</w:t>
            </w:r>
          </w:p>
        </w:tc>
      </w:tr>
      <w:tr>
        <w:tc>
          <w:tcPr>
            <w:tcW w:type="dxa" w:w="2268"/>
            <w:shd w:fill="EAF1F5"/>
            <w:tcMar>
              <w:top w:w="90" w:type="dxa"/>
              <w:start w:w="90" w:type="dxa"/>
              <w:bottom w:w="90" w:type="dxa"/>
              <w:end w:w="90" w:type="dxa"/>
            </w:tcMar>
            <w:vAlign w:val="center"/>
          </w:tcPr>
          <w:p>
            <w:pPr>
              <w:spacing w:after="0"/>
            </w:pPr>
            <w:r>
              <w:rPr>
                <w:b/>
                <w:sz w:val="18"/>
              </w:rPr>
              <w:t>Hochschule</w:t>
            </w:r>
          </w:p>
        </w:tc>
        <w:tc>
          <w:tcPr>
            <w:tcW w:type="dxa" w:w="7200"/>
            <w:tcMar>
              <w:top w:w="90" w:type="dxa"/>
              <w:start w:w="90" w:type="dxa"/>
              <w:bottom w:w="90" w:type="dxa"/>
              <w:end w:w="90" w:type="dxa"/>
            </w:tcMar>
            <w:vAlign w:val="center"/>
          </w:tcPr>
          <w:p>
            <w:pPr>
              <w:spacing w:after="0"/>
            </w:pPr>
            <w:r>
              <w:rPr>
                <w:sz w:val="18"/>
              </w:rPr>
              <w:t>Hochschule Rheinbogen, Prüfungsamt</w:t>
            </w:r>
          </w:p>
        </w:tc>
      </w:tr>
      <w:tr>
        <w:tc>
          <w:tcPr>
            <w:tcW w:type="dxa" w:w="2268"/>
            <w:shd w:fill="EAF1F5"/>
            <w:tcMar>
              <w:top w:w="90" w:type="dxa"/>
              <w:start w:w="90" w:type="dxa"/>
              <w:bottom w:w="90" w:type="dxa"/>
              <w:end w:w="90" w:type="dxa"/>
            </w:tcMar>
            <w:vAlign w:val="center"/>
          </w:tcPr>
          <w:p>
            <w:pPr>
              <w:spacing w:after="0"/>
            </w:pPr>
            <w:r>
              <w:rPr>
                <w:b/>
                <w:sz w:val="18"/>
              </w:rPr>
              <w:t>Bescheid</w:t>
            </w:r>
          </w:p>
        </w:tc>
        <w:tc>
          <w:tcPr>
            <w:tcW w:type="dxa" w:w="7200"/>
            <w:tcMar>
              <w:top w:w="90" w:type="dxa"/>
              <w:start w:w="90" w:type="dxa"/>
              <w:bottom w:w="90" w:type="dxa"/>
              <w:end w:w="90" w:type="dxa"/>
            </w:tcMar>
            <w:vAlign w:val="center"/>
          </w:tcPr>
          <w:p>
            <w:pPr>
              <w:spacing w:after="0"/>
            </w:pPr>
            <w:r>
              <w:rPr>
                <w:sz w:val="18"/>
              </w:rPr>
              <w:t>Zugang nach Angabe der Mandantin am 18. Mai 2026</w:t>
            </w:r>
          </w:p>
        </w:tc>
      </w:tr>
      <w:tr>
        <w:tc>
          <w:tcPr>
            <w:tcW w:type="dxa" w:w="2268"/>
            <w:shd w:fill="EAF1F5"/>
            <w:tcMar>
              <w:top w:w="90" w:type="dxa"/>
              <w:start w:w="90" w:type="dxa"/>
              <w:bottom w:w="90" w:type="dxa"/>
              <w:end w:w="90" w:type="dxa"/>
            </w:tcMar>
            <w:vAlign w:val="center"/>
          </w:tcPr>
          <w:p>
            <w:pPr>
              <w:spacing w:after="0"/>
            </w:pPr>
            <w:r>
              <w:rPr>
                <w:b/>
                <w:sz w:val="18"/>
              </w:rPr>
              <w:t>Sachbearbeitung</w:t>
            </w:r>
          </w:p>
        </w:tc>
        <w:tc>
          <w:tcPr>
            <w:tcW w:type="dxa" w:w="7200"/>
            <w:tcMar>
              <w:top w:w="90" w:type="dxa"/>
              <w:start w:w="90" w:type="dxa"/>
              <w:bottom w:w="90" w:type="dxa"/>
              <w:end w:w="90" w:type="dxa"/>
            </w:tcMar>
            <w:vAlign w:val="center"/>
          </w:tcPr>
          <w:p>
            <w:pPr>
              <w:spacing w:after="0"/>
            </w:pPr>
            <w:r>
              <w:rPr>
                <w:sz w:val="18"/>
              </w:rPr>
              <w:t>Dr. Petra Lindemark, Rechtsanwältin</w:t>
            </w:r>
          </w:p>
        </w:tc>
      </w:tr>
    </w:tbl>
    <w:p>
      <w:pPr>
        <w:spacing w:after="20"/>
      </w:pPr>
    </w:p>
    <w:p>
      <w:pPr>
        <w:pStyle w:val="Heading1"/>
      </w:pPr>
      <w:r>
        <w:t>1. Anlass</w:t>
      </w:r>
    </w:p>
    <w:p>
      <w:pPr>
        <w:widowControl/>
      </w:pPr>
      <w:r>
        <w:t>Die Mandantin legte einen Bescheid zum endgültigen Nichtbestehen des Moduls Quantitative Methoden III vor. Der Vorgang verbindet die Bewertung einer Online-Klausur, eine am Folgetag eingereichte ärztliche Bescheinigung, einen gesondert angesprochenen Verdacht unerlaubter Textwerkzeuge in einer Hausarbeit und eine nur eingeschränkt angebotene Akteneinsicht.</w:t>
      </w:r>
    </w:p>
    <w:p>
      <w:pPr>
        <w:widowControl/>
      </w:pPr>
      <w:r>
        <w:t>Jana Mondsee bestreitet, in der Klausur nicht zugelassene Hilfsmittel eingesetzt zu haben. Für die Hausarbeit habe sie ein im Seminar zugelassenes Rechtschreibwerkzeug verwendet. Die Hochschule verweist bislang auf einen Detektorwert, ohne konkrete Textstellen oder die verwendete Prüfmethode offenzulegen.</w:t>
      </w:r>
    </w:p>
    <w:p>
      <w:pPr>
        <w:pStyle w:val="Heading1"/>
      </w:pPr>
      <w:r>
        <w:t>2. Übergebener Bestand</w:t>
      </w:r>
    </w:p>
    <w:tbl>
      <w:tblPr>
        <w:tblStyle w:val="TableGrid"/>
        <w:tblW w:type="auto" w:w="0"/>
        <w:tblLayout w:type="fixed"/>
        <w:tblLook w:firstColumn="1" w:firstRow="1" w:lastColumn="0" w:lastRow="0" w:noHBand="0" w:noVBand="1" w:val="04A0"/>
      </w:tblPr>
      <w:tblGrid>
        <w:gridCol w:w="2891"/>
        <w:gridCol w:w="2665"/>
        <w:gridCol w:w="4082"/>
      </w:tblGrid>
      <w:tr>
        <w:tc>
          <w:tcPr>
            <w:tcW w:type="dxa" w:w="3194"/>
            <w:shd w:fill="17324D"/>
            <w:tcMar>
              <w:top w:w="90" w:type="dxa"/>
              <w:start w:w="90" w:type="dxa"/>
              <w:bottom w:w="90" w:type="dxa"/>
              <w:end w:w="90" w:type="dxa"/>
            </w:tcMar>
          </w:tcPr>
          <w:p>
            <w:r>
              <w:rPr>
                <w:b/>
                <w:color w:val="FFFFFF"/>
                <w:sz w:val="17"/>
              </w:rPr>
              <w:t>Unterlage</w:t>
            </w:r>
          </w:p>
        </w:tc>
        <w:tc>
          <w:tcPr>
            <w:tcW w:type="dxa" w:w="3194"/>
            <w:shd w:fill="17324D"/>
            <w:tcMar>
              <w:top w:w="90" w:type="dxa"/>
              <w:start w:w="90" w:type="dxa"/>
              <w:bottom w:w="90" w:type="dxa"/>
              <w:end w:w="90" w:type="dxa"/>
            </w:tcMar>
          </w:tcPr>
          <w:p>
            <w:r>
              <w:rPr>
                <w:b/>
                <w:color w:val="FFFFFF"/>
                <w:sz w:val="17"/>
              </w:rPr>
              <w:t>Stand</w:t>
            </w:r>
          </w:p>
        </w:tc>
        <w:tc>
          <w:tcPr>
            <w:tcW w:type="dxa" w:w="3194"/>
            <w:shd w:fill="17324D"/>
            <w:tcMar>
              <w:top w:w="90" w:type="dxa"/>
              <w:start w:w="90" w:type="dxa"/>
              <w:bottom w:w="90" w:type="dxa"/>
              <w:end w:w="90" w:type="dxa"/>
            </w:tcMar>
          </w:tcPr>
          <w:p>
            <w:r>
              <w:rPr>
                <w:b/>
                <w:color w:val="FFFFFF"/>
                <w:sz w:val="17"/>
              </w:rPr>
              <w:t>Offene Frage</w:t>
            </w:r>
          </w:p>
        </w:tc>
      </w:tr>
      <w:tr>
        <w:tc>
          <w:tcPr>
            <w:tcW w:type="dxa" w:w="2891"/>
            <w:tcMar>
              <w:top w:w="90" w:type="dxa"/>
              <w:start w:w="90" w:type="dxa"/>
              <w:bottom w:w="90" w:type="dxa"/>
              <w:end w:w="90" w:type="dxa"/>
            </w:tcMar>
            <w:vAlign w:val="top"/>
          </w:tcPr>
          <w:p>
            <w:pPr>
              <w:spacing w:after="0"/>
            </w:pPr>
            <w:r>
              <w:rPr>
                <w:sz w:val="16"/>
              </w:rPr>
              <w:t>Bescheid</w:t>
            </w:r>
          </w:p>
        </w:tc>
        <w:tc>
          <w:tcPr>
            <w:tcW w:type="dxa" w:w="2665"/>
            <w:tcMar>
              <w:top w:w="90" w:type="dxa"/>
              <w:start w:w="90" w:type="dxa"/>
              <w:bottom w:w="90" w:type="dxa"/>
              <w:end w:w="90" w:type="dxa"/>
            </w:tcMar>
            <w:vAlign w:val="top"/>
          </w:tcPr>
          <w:p>
            <w:pPr>
              <w:spacing w:after="0"/>
            </w:pPr>
            <w:r>
              <w:rPr>
                <w:sz w:val="16"/>
              </w:rPr>
              <w:t>Kopie mit Umschlag</w:t>
            </w:r>
          </w:p>
        </w:tc>
        <w:tc>
          <w:tcPr>
            <w:tcW w:type="dxa" w:w="4082"/>
            <w:tcMar>
              <w:top w:w="90" w:type="dxa"/>
              <w:start w:w="90" w:type="dxa"/>
              <w:bottom w:w="90" w:type="dxa"/>
              <w:end w:w="90" w:type="dxa"/>
            </w:tcMar>
            <w:vAlign w:val="top"/>
          </w:tcPr>
          <w:p>
            <w:pPr>
              <w:spacing w:after="0"/>
            </w:pPr>
            <w:r>
              <w:rPr>
                <w:sz w:val="16"/>
              </w:rPr>
              <w:t>Rechtsbehelfsbelehrung und angewandte Ordnungsversion</w:t>
            </w:r>
          </w:p>
        </w:tc>
      </w:tr>
      <w:tr>
        <w:tc>
          <w:tcPr>
            <w:tcW w:type="dxa" w:w="2891"/>
            <w:tcMar>
              <w:top w:w="90" w:type="dxa"/>
              <w:start w:w="90" w:type="dxa"/>
              <w:bottom w:w="90" w:type="dxa"/>
              <w:end w:w="90" w:type="dxa"/>
            </w:tcMar>
            <w:vAlign w:val="top"/>
            <w:shd w:fill="F5F7F8"/>
          </w:tcPr>
          <w:p>
            <w:pPr>
              <w:spacing w:after="0"/>
            </w:pPr>
            <w:r>
              <w:rPr>
                <w:sz w:val="16"/>
              </w:rPr>
              <w:t>Bewertungsbogen</w:t>
            </w:r>
          </w:p>
        </w:tc>
        <w:tc>
          <w:tcPr>
            <w:tcW w:type="dxa" w:w="2665"/>
            <w:tcMar>
              <w:top w:w="90" w:type="dxa"/>
              <w:start w:w="90" w:type="dxa"/>
              <w:bottom w:w="90" w:type="dxa"/>
              <w:end w:w="90" w:type="dxa"/>
            </w:tcMar>
            <w:vAlign w:val="top"/>
            <w:shd w:fill="F5F7F8"/>
          </w:tcPr>
          <w:p>
            <w:pPr>
              <w:spacing w:after="0"/>
            </w:pPr>
            <w:r>
              <w:rPr>
                <w:sz w:val="16"/>
              </w:rPr>
              <w:t>Unvollständiger PDF-Auszug</w:t>
            </w:r>
          </w:p>
        </w:tc>
        <w:tc>
          <w:tcPr>
            <w:tcW w:type="dxa" w:w="4082"/>
            <w:tcMar>
              <w:top w:w="90" w:type="dxa"/>
              <w:start w:w="90" w:type="dxa"/>
              <w:bottom w:w="90" w:type="dxa"/>
              <w:end w:w="90" w:type="dxa"/>
            </w:tcMar>
            <w:vAlign w:val="top"/>
            <w:shd w:fill="F5F7F8"/>
          </w:tcPr>
          <w:p>
            <w:pPr>
              <w:spacing w:after="0"/>
            </w:pPr>
            <w:r>
              <w:rPr>
                <w:sz w:val="16"/>
              </w:rPr>
              <w:t>Korrekturanmerkungen, Musterlösung, Zweitbewertung</w:t>
            </w:r>
          </w:p>
        </w:tc>
      </w:tr>
      <w:tr>
        <w:tc>
          <w:tcPr>
            <w:tcW w:type="dxa" w:w="2891"/>
            <w:tcMar>
              <w:top w:w="90" w:type="dxa"/>
              <w:start w:w="90" w:type="dxa"/>
              <w:bottom w:w="90" w:type="dxa"/>
              <w:end w:w="90" w:type="dxa"/>
            </w:tcMar>
            <w:vAlign w:val="top"/>
          </w:tcPr>
          <w:p>
            <w:pPr>
              <w:spacing w:after="0"/>
            </w:pPr>
            <w:r>
              <w:rPr>
                <w:sz w:val="16"/>
              </w:rPr>
              <w:t>Ärztliche Bescheinigung</w:t>
            </w:r>
          </w:p>
        </w:tc>
        <w:tc>
          <w:tcPr>
            <w:tcW w:type="dxa" w:w="2665"/>
            <w:tcMar>
              <w:top w:w="90" w:type="dxa"/>
              <w:start w:w="90" w:type="dxa"/>
              <w:bottom w:w="90" w:type="dxa"/>
              <w:end w:w="90" w:type="dxa"/>
            </w:tcMar>
            <w:vAlign w:val="top"/>
          </w:tcPr>
          <w:p>
            <w:pPr>
              <w:spacing w:after="0"/>
            </w:pPr>
            <w:r>
              <w:rPr>
                <w:sz w:val="16"/>
              </w:rPr>
              <w:t>Ausgestellt am Folgetag</w:t>
            </w:r>
          </w:p>
        </w:tc>
        <w:tc>
          <w:tcPr>
            <w:tcW w:type="dxa" w:w="4082"/>
            <w:tcMar>
              <w:top w:w="90" w:type="dxa"/>
              <w:start w:w="90" w:type="dxa"/>
              <w:bottom w:w="90" w:type="dxa"/>
              <w:end w:w="90" w:type="dxa"/>
            </w:tcMar>
            <w:vAlign w:val="top"/>
          </w:tcPr>
          <w:p>
            <w:pPr>
              <w:spacing w:after="0"/>
            </w:pPr>
            <w:r>
              <w:rPr>
                <w:sz w:val="16"/>
              </w:rPr>
              <w:t>Behandlung, Prüfungsfähigkeit und Zeitpunkt der Anzeige</w:t>
            </w:r>
          </w:p>
        </w:tc>
      </w:tr>
      <w:tr>
        <w:tc>
          <w:tcPr>
            <w:tcW w:type="dxa" w:w="2891"/>
            <w:tcMar>
              <w:top w:w="90" w:type="dxa"/>
              <w:start w:w="90" w:type="dxa"/>
              <w:bottom w:w="90" w:type="dxa"/>
              <w:end w:w="90" w:type="dxa"/>
            </w:tcMar>
            <w:vAlign w:val="top"/>
            <w:shd w:fill="F5F7F8"/>
          </w:tcPr>
          <w:p>
            <w:pPr>
              <w:spacing w:after="0"/>
            </w:pPr>
            <w:r>
              <w:rPr>
                <w:sz w:val="16"/>
              </w:rPr>
              <w:t>E-Mail an Prüfungsamt</w:t>
            </w:r>
          </w:p>
        </w:tc>
        <w:tc>
          <w:tcPr>
            <w:tcW w:type="dxa" w:w="2665"/>
            <w:tcMar>
              <w:top w:w="90" w:type="dxa"/>
              <w:start w:w="90" w:type="dxa"/>
              <w:bottom w:w="90" w:type="dxa"/>
              <w:end w:w="90" w:type="dxa"/>
            </w:tcMar>
            <w:vAlign w:val="top"/>
            <w:shd w:fill="F5F7F8"/>
          </w:tcPr>
          <w:p>
            <w:pPr>
              <w:spacing w:after="0"/>
            </w:pPr>
            <w:r>
              <w:rPr>
                <w:sz w:val="16"/>
              </w:rPr>
              <w:t>Antrag auf Akteneinsicht</w:t>
            </w:r>
          </w:p>
        </w:tc>
        <w:tc>
          <w:tcPr>
            <w:tcW w:type="dxa" w:w="4082"/>
            <w:tcMar>
              <w:top w:w="90" w:type="dxa"/>
              <w:start w:w="90" w:type="dxa"/>
              <w:bottom w:w="90" w:type="dxa"/>
              <w:end w:w="90" w:type="dxa"/>
            </w:tcMar>
            <w:vAlign w:val="top"/>
            <w:shd w:fill="F5F7F8"/>
          </w:tcPr>
          <w:p>
            <w:pPr>
              <w:spacing w:after="0"/>
            </w:pPr>
            <w:r>
              <w:rPr>
                <w:sz w:val="16"/>
              </w:rPr>
              <w:t>Eingang, Antwort und erlaubte Kopien</w:t>
            </w:r>
          </w:p>
        </w:tc>
      </w:tr>
      <w:tr>
        <w:tc>
          <w:tcPr>
            <w:tcW w:type="dxa" w:w="2891"/>
            <w:tcMar>
              <w:top w:w="90" w:type="dxa"/>
              <w:start w:w="90" w:type="dxa"/>
              <w:bottom w:w="90" w:type="dxa"/>
              <w:end w:w="90" w:type="dxa"/>
            </w:tcMar>
            <w:vAlign w:val="top"/>
          </w:tcPr>
          <w:p>
            <w:pPr>
              <w:spacing w:after="0"/>
            </w:pPr>
            <w:r>
              <w:rPr>
                <w:sz w:val="16"/>
              </w:rPr>
              <w:t>Hausarbeit</w:t>
            </w:r>
          </w:p>
        </w:tc>
        <w:tc>
          <w:tcPr>
            <w:tcW w:type="dxa" w:w="2665"/>
            <w:tcMar>
              <w:top w:w="90" w:type="dxa"/>
              <w:start w:w="90" w:type="dxa"/>
              <w:bottom w:w="90" w:type="dxa"/>
              <w:end w:w="90" w:type="dxa"/>
            </w:tcMar>
            <w:vAlign w:val="top"/>
          </w:tcPr>
          <w:p>
            <w:pPr>
              <w:spacing w:after="0"/>
            </w:pPr>
            <w:r>
              <w:rPr>
                <w:sz w:val="16"/>
              </w:rPr>
              <w:t>Abgegebene Fassung und Literaturverzeichnis</w:t>
            </w:r>
          </w:p>
        </w:tc>
        <w:tc>
          <w:tcPr>
            <w:tcW w:type="dxa" w:w="4082"/>
            <w:tcMar>
              <w:top w:w="90" w:type="dxa"/>
              <w:start w:w="90" w:type="dxa"/>
              <w:bottom w:w="90" w:type="dxa"/>
              <w:end w:w="90" w:type="dxa"/>
            </w:tcMar>
            <w:vAlign w:val="top"/>
          </w:tcPr>
          <w:p>
            <w:pPr>
              <w:spacing w:after="0"/>
            </w:pPr>
            <w:r>
              <w:rPr>
                <w:sz w:val="16"/>
              </w:rPr>
              <w:t>Detektorbericht, konkrete Fundstellen und Hilfsmittelregel</w:t>
            </w:r>
          </w:p>
        </w:tc>
      </w:tr>
      <w:tr>
        <w:tc>
          <w:tcPr>
            <w:tcW w:type="dxa" w:w="2891"/>
            <w:tcMar>
              <w:top w:w="90" w:type="dxa"/>
              <w:start w:w="90" w:type="dxa"/>
              <w:bottom w:w="90" w:type="dxa"/>
              <w:end w:w="90" w:type="dxa"/>
            </w:tcMar>
            <w:vAlign w:val="top"/>
            <w:shd w:fill="F5F7F8"/>
          </w:tcPr>
          <w:p>
            <w:pPr>
              <w:spacing w:after="0"/>
            </w:pPr>
            <w:r>
              <w:rPr>
                <w:sz w:val="16"/>
              </w:rPr>
              <w:t>Punkteübersicht</w:t>
            </w:r>
          </w:p>
        </w:tc>
        <w:tc>
          <w:tcPr>
            <w:tcW w:type="dxa" w:w="2665"/>
            <w:tcMar>
              <w:top w:w="90" w:type="dxa"/>
              <w:start w:w="90" w:type="dxa"/>
              <w:bottom w:w="90" w:type="dxa"/>
              <w:end w:w="90" w:type="dxa"/>
            </w:tcMar>
            <w:vAlign w:val="top"/>
            <w:shd w:fill="F5F7F8"/>
          </w:tcPr>
          <w:p>
            <w:pPr>
              <w:spacing w:after="0"/>
            </w:pPr>
            <w:r>
              <w:rPr>
                <w:sz w:val="16"/>
              </w:rPr>
              <w:t>Eigene Tabelle</w:t>
            </w:r>
          </w:p>
        </w:tc>
        <w:tc>
          <w:tcPr>
            <w:tcW w:type="dxa" w:w="4082"/>
            <w:tcMar>
              <w:top w:w="90" w:type="dxa"/>
              <w:start w:w="90" w:type="dxa"/>
              <w:bottom w:w="90" w:type="dxa"/>
              <w:end w:w="90" w:type="dxa"/>
            </w:tcMar>
            <w:vAlign w:val="top"/>
            <w:shd w:fill="F5F7F8"/>
          </w:tcPr>
          <w:p>
            <w:pPr>
              <w:spacing w:after="0"/>
            </w:pPr>
            <w:r>
              <w:rPr>
                <w:sz w:val="16"/>
              </w:rPr>
              <w:t>Originalbewertung je Aufgabe und Rechenfehler</w:t>
            </w:r>
          </w:p>
        </w:tc>
      </w:tr>
    </w:tbl>
    <w:p>
      <w:pPr>
        <w:spacing w:after="20"/>
      </w:pPr>
    </w:p>
    <w:p>
      <w:pPr>
        <w:pStyle w:val="Heading1"/>
      </w:pPr>
      <w:r>
        <w:t>3. Sofortauftrag</w:t>
      </w:r>
    </w:p>
    <w:p>
      <w:pPr>
        <w:widowControl/>
      </w:pPr>
      <w:r>
        <w:t>Zugang und Frist werden anhand von Umschlag, Bescheid und einschlägigem Verfahrensrecht kontrolliert. Parallel wird vollständige Akteneinsicht mit Kopien, Bewertungsunterlagen, Protokollen, Ordnungsversionen und Unterlagen zum Täuschungsvorwurf angefordert. Die Mandantin sichert Endgerät, Abgabedatei und Versionshistorie unverändert.</w:t>
      </w:r>
    </w:p>
    <w:p>
      <w:pPr>
        <w:keepLines/>
        <w:spacing w:before="120"/>
      </w:pPr>
      <w:r>
        <w:rPr>
          <w:b/>
        </w:rPr>
        <w:t>Dr. Petra Lindemark · Rechtsanwältin</w:t>
      </w:r>
    </w:p>
    <w:sectPr w:rsidR="00FC693F" w:rsidRPr="0006063C" w:rsidSect="00034616">
      <w:footerReference w:type="default" r:id="rId9"/>
      <w:pgSz w:w="11906" w:h="16838"/>
      <w:pgMar w:top="1247" w:right="1134" w:bottom="1020"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9636B"/>
        <w:sz w:val="16"/>
      </w:rPr>
      <w:t xml:space="preserve">KANZLEI LINDEMARK · VERWALTUNGSRECHT · PL-194/26-PR · Seite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026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66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732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