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Widerspruch und Eilbitte</w:t>
      </w:r>
    </w:p>
    <w:p>
      <w:r>
        <w:t>Namens der Eltern wird die Aufhebung des Unterrichtsausschlusses und hilfsweise die unverzügliche Beschulung mit Lernmaterial, Fördermaßnahmen und Schutzkonzept beantragt.</w:t>
      </w:r>
    </w:p>
    <w:p>
      <w:r>
        <w:t>Die Rechtsqualität des Schreibens ist unklar. Vorsorglich wird Widerspruch eingelegt und Akteneinsicht beantragt.</w:t>
      </w:r>
    </w:p>
    <w:p>
      <w:pPr>
        <w:pStyle w:val="ListBullet"/>
      </w:pPr>
      <w:r>
        <w:t>Anhörung rügen</w:t>
      </w:r>
    </w:p>
    <w:p>
      <w:pPr>
        <w:pStyle w:val="ListBullet"/>
      </w:pPr>
      <w:r>
        <w:t>Nachteilsausgleich einziehen</w:t>
      </w:r>
    </w:p>
    <w:p>
      <w:pPr>
        <w:pStyle w:val="ListBullet"/>
      </w:pPr>
      <w:r>
        <w:t>Mobbing-Schutzpflichten prüfen</w:t>
      </w:r>
    </w:p>
    <w:p>
      <w:pPr>
        <w:pStyle w:val="Heading1"/>
      </w:pPr>
      <w:r>
        <w:t>Ergänzender Tatsachenvortrag</w:t>
      </w:r>
    </w:p>
    <w:p>
      <w:pPr>
        <w:pStyle w:val="Heading2"/>
      </w:pPr>
      <w:r>
        <w:t>Zeitlicher Ablauf</w:t>
      </w:r>
    </w:p>
    <w:p>
      <w:r>
        <w:t>Der Entwurf ordnet jeden Vorfall nach Datum, Ort, Aufsichtsperson und vorhandenem Beleg. Er weist darauf hin, dass Förderplan vom 2. Februar, Hilfeplangespräch vom 6. April und kinderärztliche Empfehlung vom 9. Mai in der Schulakte nur teilweise wiedergegeben sind.</w:t>
      </w:r>
    </w:p>
    <w:p>
      <w:r>
        <w:t>Die Mutter schildert den Telefonanruf des Sekretariats am 20. Mai um 12:36 Uhr und den Eingang des Schreibens am 21. Mai. Sie legt den Umschlag, eine eigene Gesprächsnotiz und die E-Mail der Schulsozialarbeiterin bei. Gegenteilige Wahrnehmungen der Lehrkräfte werden als streitig gekennzeichnet.</w:t>
      </w:r>
    </w:p>
    <w:p>
      <w:pPr>
        <w:pStyle w:val="Heading2"/>
      </w:pPr>
      <w:r>
        <w:t>Vorläufiges Begehren</w:t>
      </w:r>
    </w:p>
    <w:p>
      <w:r>
        <w:t>Beantragt wird eine Entscheidung vor Beginn des Ausschlusszeitraums sowie Akteneinsicht in Aussagen, Konferenzunterlagen und Fördermaßnahmen. Der Entwurf enthält eine gesonderte Anlagenliste und lässt Gericht, Aktenzeichen und Unterschrift für die anwaltliche Endfassung offen.</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