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Betrieb Radolfzell / Betriebsrat</w:t>
      </w:r>
    </w:p>
    <w:p>
      <w:pPr>
        <w:jc w:val="right"/>
      </w:pPr>
      <w:r>
        <w:rPr>
          <w:rFonts w:ascii="Times New Roman" w:hAnsi="Times New Roman" w:eastAsia="Times New Roman" w:cs="Times New Roman"/>
        </w:rPr>
        <w:t>15.01.2020</w:t>
      </w:r>
    </w:p>
    <w:p>
      <w:pPr>
        <w:pStyle w:val="Heading1"/>
      </w:pPr>
      <w:r>
        <w:rPr>
          <w:rFonts w:ascii="Times New Roman" w:hAnsi="Times New Roman" w:eastAsia="Times New Roman" w:cs="Times New Roman"/>
        </w:rPr>
        <w:t>Betriebsvereinbarung Nr. 7/2020 „Variable Vergütung“ (Auszug)</w:t>
      </w:r>
    </w:p>
    <w:p>
      <w:pPr>
        <w:widowControl/>
      </w:pPr>
      <w:r>
        <w:rPr>
          <w:rFonts w:ascii="Times New Roman" w:hAnsi="Times New Roman" w:eastAsia="Times New Roman" w:cs="Times New Roman"/>
        </w:rPr>
        <w:t>zwischen der Seewerk Präzisionsguss GmbH und dem Betriebsrat des Betriebs Radolfzell</w:t>
      </w:r>
    </w:p>
    <w:p>
      <w:pPr>
        <w:widowControl/>
      </w:pPr>
      <w:r>
        <w:rPr>
          <w:rFonts w:ascii="Times New Roman" w:hAnsi="Times New Roman" w:eastAsia="Times New Roman" w:cs="Times New Roman"/>
        </w:rPr>
        <w:t>Paragraf 1 Geltungsbereich. Diese Betriebsvereinbarung gilt für alle Beschäftigten, mit denen ein Zielbonus arbeitsvertraglich vereinbart ist.</w:t>
      </w:r>
    </w:p>
    <w:p>
      <w:pPr>
        <w:widowControl/>
      </w:pPr>
      <w:r>
        <w:rPr>
          <w:rFonts w:ascii="Times New Roman" w:hAnsi="Times New Roman" w:eastAsia="Times New Roman" w:cs="Times New Roman"/>
        </w:rPr>
        <w:t>Paragraf 2 Zielbonus. Die Höhe des Zielbonus ergibt sich aus dem Arbeitsvertrag. Er wird bei einem Gesamtfaktor von 100 % in voller Höhe ausgezahlt.</w:t>
      </w:r>
    </w:p>
    <w:p>
      <w:pPr>
        <w:widowControl/>
      </w:pPr>
      <w:r>
        <w:rPr>
          <w:rFonts w:ascii="Times New Roman" w:hAnsi="Times New Roman" w:eastAsia="Times New Roman" w:cs="Times New Roman"/>
        </w:rPr>
        <w:t>Paragraf 3 Gesamtfaktor. (1) Der Gesamtfaktor setzt sich je zur Hälfte aus dem individuellen Faktor und dem Unternehmensfaktor zusammen. (2) Der individuelle Faktor (0–150 %) wird vom Vorgesetzten auf Grundlage der zu Beginn des Jahres gemeinsam festgelegten Leistungsziele bestimmt. (3) Der Unternehmensfaktor (0–200 %) richtet sich nach Umsatz und EBIT des Standorts Radolfzell. Die Unternehmensziele werden zu Beginn eines jeden Geschäftsjahres von der Geschäftsführung festgelegt und den bonusberechtigten Beschäftigten bis zum 31. Januar bekannt gegeben.</w:t>
      </w:r>
    </w:p>
    <w:p>
      <w:pPr>
        <w:widowControl/>
      </w:pPr>
      <w:r>
        <w:rPr>
          <w:rFonts w:ascii="Times New Roman" w:hAnsi="Times New Roman" w:eastAsia="Times New Roman" w:cs="Times New Roman"/>
        </w:rPr>
        <w:t>Paragraf 4 Auszahlung. Der Bonus wird mit dem Märzgehalt des Folgejahres ausgezahlt. Die Beschäftigten erhalten eine schriftliche Mitteilung mit Angabe der Faktoren.</w:t>
      </w:r>
    </w:p>
    <w:p>
      <w:pPr>
        <w:widowControl/>
      </w:pPr>
      <w:r>
        <w:rPr>
          <w:rFonts w:ascii="Times New Roman" w:hAnsi="Times New Roman" w:eastAsia="Times New Roman" w:cs="Times New Roman"/>
        </w:rPr>
        <w:t>Radolfzell, 15.01.2020 – gez. Geschäftsführung – gez. Ralf Becker, Betriebsratsvorsitzender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Betriebsvereinbarung Nr. 7/2020 „Variable Vergütung“ (Auszug)</dc:title>
  <dc:subject/>
  <dc:creator>Klotzkette</dc:creator>
  <cp:keywords/>
  <dc:description/>
  <cp:lastModifiedBy>Klotzkette</cp:lastModifiedBy>
  <cp:revision>1</cp:revision>
  <dcterms:created xsi:type="dcterms:W3CDTF">2020-01-15T00:00:00Z</dcterms:created>
  <dcterms:modified xsi:type="dcterms:W3CDTF">2020-01-15T00:00:00Z</dcterms:modified>
  <cp:category/>
</cp:coreProperties>
</file>