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Herrn</w:t>
        <w:br/>
        <w:t>Daniel Muster</w:t>
        <w:br/>
        <w:t>Uferweg 7</w:t>
        <w:br/>
        <w:t>78464 Konstanz</w:t>
      </w:r>
    </w:p>
    <w:p>
      <w:pPr>
        <w:jc w:val="right"/>
      </w:pPr>
      <w:r>
        <w:rPr>
          <w:rFonts w:ascii="Times New Roman" w:hAnsi="Times New Roman" w:eastAsia="Times New Roman" w:cs="Times New Roman"/>
        </w:rPr>
        <w:t>21.03.2025</w:t>
      </w:r>
    </w:p>
    <w:p>
      <w:pPr>
        <w:pStyle w:val="Heading1"/>
      </w:pPr>
      <w:r>
        <w:rPr>
          <w:rFonts w:ascii="Times New Roman" w:hAnsi="Times New Roman" w:eastAsia="Times New Roman" w:cs="Times New Roman"/>
        </w:rPr>
        <w:t>Ihr Bonus für das Geschäftsjahr 2024</w:t>
      </w:r>
    </w:p>
    <w:tbl>
      <w:tblPr>
        <w:tblStyle w:val="TableGrid"/>
        <w:tblW w:type="auto" w:w="0"/>
        <w:tblLook w:firstColumn="1" w:firstRow="1" w:lastColumn="0" w:lastRow="0" w:noHBand="0" w:noVBand="1" w:val="04A0"/>
      </w:tblPr>
      <w:tblGrid>
        <w:gridCol w:w="4706"/>
        <w:gridCol w:w="4706"/>
      </w:tblGrid>
      <w:tr>
        <w:trPr>
          <w:tblHeader/>
          <w:cantSplit/>
        </w:trPr>
        <w:tc>
          <w:tcPr>
            <w:tcW w:type="dxa" w:w="4706"/>
          </w:tcPr>
          <w:p>
            <w:r>
              <w:rPr>
                <w:rFonts w:ascii="Times New Roman" w:hAnsi="Times New Roman" w:eastAsia="Times New Roman" w:cs="Times New Roman"/>
                <w:b/>
              </w:rPr>
              <w:t>Position</w:t>
            </w:r>
          </w:p>
        </w:tc>
        <w:tc>
          <w:tcPr>
            <w:tcW w:type="dxa" w:w="4706"/>
          </w:tcPr>
          <w:p>
            <w:r>
              <w:rPr>
                <w:rFonts w:ascii="Times New Roman" w:hAnsi="Times New Roman" w:eastAsia="Times New Roman" w:cs="Times New Roman"/>
                <w:b/>
              </w:rPr>
              <w:t>Wert</w:t>
            </w:r>
          </w:p>
        </w:tc>
      </w:tr>
      <w:tr>
        <w:trPr>
          <w:cantSplit/>
        </w:trPr>
        <w:tc>
          <w:tcPr>
            <w:tcW w:type="dxa" w:w="4706"/>
          </w:tcPr>
          <w:p>
            <w:r>
              <w:rPr>
                <w:rFonts w:ascii="Times New Roman" w:hAnsi="Times New Roman" w:eastAsia="Times New Roman" w:cs="Times New Roman"/>
              </w:rPr>
              <w:t>Jahresgrundgehalt 2024</w:t>
            </w:r>
          </w:p>
        </w:tc>
        <w:tc>
          <w:tcPr>
            <w:tcW w:type="dxa" w:w="4706"/>
          </w:tcPr>
          <w:p>
            <w:r>
              <w:rPr>
                <w:rFonts w:ascii="Times New Roman" w:hAnsi="Times New Roman" w:eastAsia="Times New Roman" w:cs="Times New Roman"/>
              </w:rPr>
              <w:t>72.000,00 €</w:t>
            </w:r>
          </w:p>
        </w:tc>
      </w:tr>
      <w:tr>
        <w:trPr>
          <w:cantSplit/>
        </w:trPr>
        <w:tc>
          <w:tcPr>
            <w:tcW w:type="dxa" w:w="4706"/>
          </w:tcPr>
          <w:p>
            <w:r>
              <w:rPr>
                <w:rFonts w:ascii="Times New Roman" w:hAnsi="Times New Roman" w:eastAsia="Times New Roman" w:cs="Times New Roman"/>
              </w:rPr>
              <w:t>Zielbonus (15 %)</w:t>
            </w:r>
          </w:p>
        </w:tc>
        <w:tc>
          <w:tcPr>
            <w:tcW w:type="dxa" w:w="4706"/>
          </w:tcPr>
          <w:p>
            <w:r>
              <w:rPr>
                <w:rFonts w:ascii="Times New Roman" w:hAnsi="Times New Roman" w:eastAsia="Times New Roman" w:cs="Times New Roman"/>
              </w:rPr>
              <w:t>10.800,00 €</w:t>
            </w:r>
          </w:p>
        </w:tc>
      </w:tr>
      <w:tr>
        <w:trPr>
          <w:cantSplit/>
        </w:trPr>
        <w:tc>
          <w:tcPr>
            <w:tcW w:type="dxa" w:w="4706"/>
          </w:tcPr>
          <w:p>
            <w:r>
              <w:rPr>
                <w:rFonts w:ascii="Times New Roman" w:hAnsi="Times New Roman" w:eastAsia="Times New Roman" w:cs="Times New Roman"/>
              </w:rPr>
              <w:t>Individueller Faktor</w:t>
            </w:r>
          </w:p>
        </w:tc>
        <w:tc>
          <w:tcPr>
            <w:tcW w:type="dxa" w:w="4706"/>
          </w:tcPr>
          <w:p>
            <w:r>
              <w:rPr>
                <w:rFonts w:ascii="Times New Roman" w:hAnsi="Times New Roman" w:eastAsia="Times New Roman" w:cs="Times New Roman"/>
              </w:rPr>
              <w:t>110 %</w:t>
            </w:r>
          </w:p>
        </w:tc>
      </w:tr>
      <w:tr>
        <w:trPr>
          <w:cantSplit/>
        </w:trPr>
        <w:tc>
          <w:tcPr>
            <w:tcW w:type="dxa" w:w="4706"/>
          </w:tcPr>
          <w:p>
            <w:r>
              <w:rPr>
                <w:rFonts w:ascii="Times New Roman" w:hAnsi="Times New Roman" w:eastAsia="Times New Roman" w:cs="Times New Roman"/>
              </w:rPr>
              <w:t>Unternehmensfaktor</w:t>
            </w:r>
          </w:p>
        </w:tc>
        <w:tc>
          <w:tcPr>
            <w:tcW w:type="dxa" w:w="4706"/>
          </w:tcPr>
          <w:p>
            <w:r>
              <w:rPr>
                <w:rFonts w:ascii="Times New Roman" w:hAnsi="Times New Roman" w:eastAsia="Times New Roman" w:cs="Times New Roman"/>
              </w:rPr>
              <w:t>110 %</w:t>
            </w:r>
          </w:p>
        </w:tc>
      </w:tr>
      <w:tr>
        <w:trPr>
          <w:cantSplit/>
        </w:trPr>
        <w:tc>
          <w:tcPr>
            <w:tcW w:type="dxa" w:w="4706"/>
          </w:tcPr>
          <w:p>
            <w:r>
              <w:rPr>
                <w:rFonts w:ascii="Times New Roman" w:hAnsi="Times New Roman" w:eastAsia="Times New Roman" w:cs="Times New Roman"/>
              </w:rPr>
              <w:t>Gesamtfaktor</w:t>
            </w:r>
          </w:p>
        </w:tc>
        <w:tc>
          <w:tcPr>
            <w:tcW w:type="dxa" w:w="4706"/>
          </w:tcPr>
          <w:p>
            <w:r>
              <w:rPr>
                <w:rFonts w:ascii="Times New Roman" w:hAnsi="Times New Roman" w:eastAsia="Times New Roman" w:cs="Times New Roman"/>
              </w:rPr>
              <w:t>110 %</w:t>
            </w:r>
          </w:p>
        </w:tc>
      </w:tr>
      <w:tr>
        <w:trPr>
          <w:cantSplit/>
        </w:trPr>
        <w:tc>
          <w:tcPr>
            <w:tcW w:type="dxa" w:w="4706"/>
          </w:tcPr>
          <w:p>
            <w:r>
              <w:rPr>
                <w:rFonts w:ascii="Times New Roman" w:hAnsi="Times New Roman" w:eastAsia="Times New Roman" w:cs="Times New Roman"/>
              </w:rPr>
              <w:t>Auszahlungsbetrag (brutto)</w:t>
            </w:r>
          </w:p>
        </w:tc>
        <w:tc>
          <w:tcPr>
            <w:tcW w:type="dxa" w:w="4706"/>
          </w:tcPr>
          <w:p>
            <w:r>
              <w:rPr>
                <w:rFonts w:ascii="Times New Roman" w:hAnsi="Times New Roman" w:eastAsia="Times New Roman" w:cs="Times New Roman"/>
              </w:rPr>
              <w:t>11.880,00 €</w:t>
            </w:r>
          </w:p>
        </w:tc>
      </w:tr>
    </w:tbl>
    <w:p/>
    <w:p>
      <w:pPr>
        <w:widowControl/>
      </w:pPr>
      <w:r>
        <w:rPr>
          <w:rFonts w:ascii="Times New Roman" w:hAnsi="Times New Roman" w:eastAsia="Times New Roman" w:cs="Times New Roman"/>
        </w:rPr>
        <w:t>Die Berechnungsbasis dieser Mitteilung ist das Jahresgrundgehalt 2024 von 72.000,00 Euro. Daraus ergibt sich bei 15 Prozent ein Zielbonus von 10.800,00 Euro. Der individuelle Faktor und der Unternehmensfaktor sind jeweils mit 110 Prozent angesetzt; der Gesamtfaktor beträgt damit ebenfalls 110 Prozent.</w:t>
      </w:r>
    </w:p>
    <w:p>
      <w:pPr>
        <w:widowControl/>
      </w:pPr>
      <w:r>
        <w:rPr>
          <w:rFonts w:ascii="Times New Roman" w:hAnsi="Times New Roman" w:eastAsia="Times New Roman" w:cs="Times New Roman"/>
        </w:rPr>
        <w:t>Der Bruttobonus von 11.880,00 Euro wird in der Entgeltabrechnung März 2025 als Bonus Vorjahr geführt. Er steht dort neben dem laufenden Monatsgrundgehalt von 6.200,00 Euro. Beide Positionen gehören zur selben Monatsabrechnung, obwohl der Bonus das Geschäftsjahr 2024 betrifft. Die Überweisung erfolgt als gemeinsamer Nettobetrag und nicht als gesonderte Zahlung des Bruttobonus.</w:t>
      </w:r>
    </w:p>
    <w:p>
      <w:pPr>
        <w:widowControl/>
      </w:pPr>
      <w:r>
        <w:rPr>
          <w:rFonts w:ascii="Times New Roman" w:hAnsi="Times New Roman" w:eastAsia="Times New Roman" w:cs="Times New Roman"/>
        </w:rPr>
        <w:t>Wir danken Ihnen für Ihren Einsatz. – i. A. Sabine Kraus, Leiterin Personal</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 Bonus für das Geschäftsjahr 2024</dc:title>
  <dc:subject/>
  <dc:creator>Klotzkette</dc:creator>
  <cp:keywords/>
  <dc:description/>
  <cp:lastModifiedBy>Klotzkette</cp:lastModifiedBy>
  <cp:revision>1</cp:revision>
  <dcterms:created xsi:type="dcterms:W3CDTF">2025-03-21T00:00:00Z</dcterms:created>
  <dcterms:modified xsi:type="dcterms:W3CDTF">2025-03-21T00:00:00Z</dcterms:modified>
  <cp:category/>
</cp:coreProperties>
</file>