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Herrn</w:t>
        <w:br/>
        <w:t>Daniel Muster</w:t>
        <w:br/>
        <w:t>Uferweg 7</w:t>
        <w:br/>
        <w:t>78464 Konstanz</w:t>
      </w:r>
    </w:p>
    <w:p>
      <w:pPr>
        <w:jc w:val="right"/>
      </w:pPr>
      <w:r>
        <w:rPr>
          <w:rFonts w:ascii="Times New Roman" w:hAnsi="Times New Roman" w:eastAsia="Times New Roman" w:cs="Times New Roman"/>
        </w:rPr>
        <w:t>20.03.2026</w:t>
      </w:r>
    </w:p>
    <w:p>
      <w:pPr>
        <w:pStyle w:val="Heading1"/>
      </w:pPr>
      <w:r>
        <w:rPr>
          <w:rFonts w:ascii="Times New Roman" w:hAnsi="Times New Roman" w:eastAsia="Times New Roman" w:cs="Times New Roman"/>
        </w:rPr>
        <w:t>Ihr Bonus für das Geschäftsjahr 2025</w:t>
      </w:r>
    </w:p>
    <w:tbl>
      <w:tblPr>
        <w:tblStyle w:val="TableGrid"/>
        <w:tblW w:type="auto" w:w="0"/>
        <w:tblLook w:firstColumn="1" w:firstRow="1" w:lastColumn="0" w:lastRow="0" w:noHBand="0" w:noVBand="1" w:val="04A0"/>
      </w:tblPr>
      <w:tblGrid>
        <w:gridCol w:w="4706"/>
        <w:gridCol w:w="4706"/>
      </w:tblGrid>
      <w:tr>
        <w:trPr>
          <w:tblHeader/>
          <w:cantSplit/>
        </w:trPr>
        <w:tc>
          <w:tcPr>
            <w:tcW w:type="dxa" w:w="4706"/>
          </w:tcPr>
          <w:p>
            <w:r>
              <w:rPr>
                <w:rFonts w:ascii="Times New Roman" w:hAnsi="Times New Roman" w:eastAsia="Times New Roman" w:cs="Times New Roman"/>
                <w:b/>
              </w:rPr>
              <w:t>Position</w:t>
            </w:r>
          </w:p>
        </w:tc>
        <w:tc>
          <w:tcPr>
            <w:tcW w:type="dxa" w:w="4706"/>
          </w:tcPr>
          <w:p>
            <w:r>
              <w:rPr>
                <w:rFonts w:ascii="Times New Roman" w:hAnsi="Times New Roman" w:eastAsia="Times New Roman" w:cs="Times New Roman"/>
                <w:b/>
              </w:rPr>
              <w:t>Wert</w:t>
            </w:r>
          </w:p>
        </w:tc>
      </w:tr>
      <w:tr>
        <w:trPr>
          <w:cantSplit/>
        </w:trPr>
        <w:tc>
          <w:tcPr>
            <w:tcW w:type="dxa" w:w="4706"/>
          </w:tcPr>
          <w:p>
            <w:r>
              <w:rPr>
                <w:rFonts w:ascii="Times New Roman" w:hAnsi="Times New Roman" w:eastAsia="Times New Roman" w:cs="Times New Roman"/>
              </w:rPr>
              <w:t>Jahresgrundgehalt 2025</w:t>
            </w:r>
          </w:p>
        </w:tc>
        <w:tc>
          <w:tcPr>
            <w:tcW w:type="dxa" w:w="4706"/>
          </w:tcPr>
          <w:p>
            <w:r>
              <w:rPr>
                <w:rFonts w:ascii="Times New Roman" w:hAnsi="Times New Roman" w:eastAsia="Times New Roman" w:cs="Times New Roman"/>
              </w:rPr>
              <w:t>74.400,00 €</w:t>
            </w:r>
          </w:p>
        </w:tc>
      </w:tr>
      <w:tr>
        <w:trPr>
          <w:cantSplit/>
        </w:trPr>
        <w:tc>
          <w:tcPr>
            <w:tcW w:type="dxa" w:w="4706"/>
          </w:tcPr>
          <w:p>
            <w:r>
              <w:rPr>
                <w:rFonts w:ascii="Times New Roman" w:hAnsi="Times New Roman" w:eastAsia="Times New Roman" w:cs="Times New Roman"/>
              </w:rPr>
              <w:t>Zielbonus (15 %)</w:t>
            </w:r>
          </w:p>
        </w:tc>
        <w:tc>
          <w:tcPr>
            <w:tcW w:type="dxa" w:w="4706"/>
          </w:tcPr>
          <w:p>
            <w:r>
              <w:rPr>
                <w:rFonts w:ascii="Times New Roman" w:hAnsi="Times New Roman" w:eastAsia="Times New Roman" w:cs="Times New Roman"/>
              </w:rPr>
              <w:t>11.160,00 €</w:t>
            </w:r>
          </w:p>
        </w:tc>
      </w:tr>
      <w:tr>
        <w:trPr>
          <w:cantSplit/>
        </w:trPr>
        <w:tc>
          <w:tcPr>
            <w:tcW w:type="dxa" w:w="4706"/>
          </w:tcPr>
          <w:p>
            <w:r>
              <w:rPr>
                <w:rFonts w:ascii="Times New Roman" w:hAnsi="Times New Roman" w:eastAsia="Times New Roman" w:cs="Times New Roman"/>
              </w:rPr>
              <w:t>Individueller Faktor</w:t>
            </w:r>
          </w:p>
        </w:tc>
        <w:tc>
          <w:tcPr>
            <w:tcW w:type="dxa" w:w="4706"/>
          </w:tcPr>
          <w:p>
            <w:r>
              <w:rPr>
                <w:rFonts w:ascii="Times New Roman" w:hAnsi="Times New Roman" w:eastAsia="Times New Roman" w:cs="Times New Roman"/>
              </w:rPr>
              <w:t>80 % (Berücksichtigung der Abmahnung vom 12.01.2026)</w:t>
            </w:r>
          </w:p>
        </w:tc>
      </w:tr>
      <w:tr>
        <w:trPr>
          <w:cantSplit/>
        </w:trPr>
        <w:tc>
          <w:tcPr>
            <w:tcW w:type="dxa" w:w="4706"/>
          </w:tcPr>
          <w:p>
            <w:r>
              <w:rPr>
                <w:rFonts w:ascii="Times New Roman" w:hAnsi="Times New Roman" w:eastAsia="Times New Roman" w:cs="Times New Roman"/>
              </w:rPr>
              <w:t>Unternehmensfaktor</w:t>
            </w:r>
          </w:p>
        </w:tc>
        <w:tc>
          <w:tcPr>
            <w:tcW w:type="dxa" w:w="4706"/>
          </w:tcPr>
          <w:p>
            <w:r>
              <w:rPr>
                <w:rFonts w:ascii="Times New Roman" w:hAnsi="Times New Roman" w:eastAsia="Times New Roman" w:cs="Times New Roman"/>
              </w:rPr>
              <w:t>0 % (Unternehmensziele 2025 nicht erreicht)</w:t>
            </w:r>
          </w:p>
        </w:tc>
      </w:tr>
      <w:tr>
        <w:trPr>
          <w:cantSplit/>
        </w:trPr>
        <w:tc>
          <w:tcPr>
            <w:tcW w:type="dxa" w:w="4706"/>
          </w:tcPr>
          <w:p>
            <w:r>
              <w:rPr>
                <w:rFonts w:ascii="Times New Roman" w:hAnsi="Times New Roman" w:eastAsia="Times New Roman" w:cs="Times New Roman"/>
              </w:rPr>
              <w:t>Gesamtfaktor</w:t>
            </w:r>
          </w:p>
        </w:tc>
        <w:tc>
          <w:tcPr>
            <w:tcW w:type="dxa" w:w="4706"/>
          </w:tcPr>
          <w:p>
            <w:r>
              <w:rPr>
                <w:rFonts w:ascii="Times New Roman" w:hAnsi="Times New Roman" w:eastAsia="Times New Roman" w:cs="Times New Roman"/>
              </w:rPr>
              <w:t>40 %</w:t>
            </w:r>
          </w:p>
        </w:tc>
      </w:tr>
      <w:tr>
        <w:trPr>
          <w:cantSplit/>
        </w:trPr>
        <w:tc>
          <w:tcPr>
            <w:tcW w:type="dxa" w:w="4706"/>
          </w:tcPr>
          <w:p>
            <w:r>
              <w:rPr>
                <w:rFonts w:ascii="Times New Roman" w:hAnsi="Times New Roman" w:eastAsia="Times New Roman" w:cs="Times New Roman"/>
              </w:rPr>
              <w:t>Auszahlungsbetrag (brutto)</w:t>
            </w:r>
          </w:p>
        </w:tc>
        <w:tc>
          <w:tcPr>
            <w:tcW w:type="dxa" w:w="4706"/>
          </w:tcPr>
          <w:p>
            <w:r>
              <w:rPr>
                <w:rFonts w:ascii="Times New Roman" w:hAnsi="Times New Roman" w:eastAsia="Times New Roman" w:cs="Times New Roman"/>
              </w:rPr>
              <w:t>4.464,00 €</w:t>
            </w:r>
          </w:p>
        </w:tc>
      </w:tr>
    </w:tbl>
    <w:p/>
    <w:p>
      <w:pPr>
        <w:widowControl/>
      </w:pPr>
      <w:r>
        <w:rPr>
          <w:rFonts w:ascii="Times New Roman" w:hAnsi="Times New Roman" w:eastAsia="Times New Roman" w:cs="Times New Roman"/>
        </w:rPr>
        <w:t>Für das Geschäftsjahr 2025 ist ein Jahresgrundgehalt von 74.400,00 Euro angesetzt. Der daraus berechnete Zielbonus von 15 Prozent beträgt 11.160,00 Euro. Aus dem individuellen Faktor von 80 Prozent und dem Unternehmensfaktor von 0 Prozent ergibt sich bei hälftiger Gewichtung ein Gesamtfaktor von 40 Prozent.</w:t>
      </w:r>
    </w:p>
    <w:p>
      <w:pPr>
        <w:widowControl/>
      </w:pPr>
      <w:r>
        <w:rPr>
          <w:rFonts w:ascii="Times New Roman" w:hAnsi="Times New Roman" w:eastAsia="Times New Roman" w:cs="Times New Roman"/>
        </w:rPr>
        <w:t>Der sich daraus ergebende Betrag von 4.464,00 Euro brutto wird mit dem Märzgehalt 2026 abgerechnet. In der Monatsabrechnung wird er als Bonus Vorjahr neben dem laufenden Grundgehalt von 6.200,00 Euro ausgewiesen. Die gemeinsame Nettoüberweisung dieses Monats ist daher nicht mit dem hier genannten Bruttobonus gleichzusetzen.</w:t>
      </w:r>
    </w:p>
    <w:p>
      <w:pPr>
        <w:widowControl/>
      </w:pPr>
      <w:r>
        <w:rPr>
          <w:rFonts w:ascii="Times New Roman" w:hAnsi="Times New Roman" w:eastAsia="Times New Roman" w:cs="Times New Roman"/>
        </w:rPr>
        <w:t>i. A. Sabine Kraus, Leiterin Personal</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Ihr Bonus für das Geschäftsjahr 2025</dc:title>
  <dc:subject/>
  <dc:creator>Klotzkette</dc:creator>
  <cp:keywords/>
  <dc:description/>
  <cp:lastModifiedBy>Klotzkette</cp:lastModifiedBy>
  <cp:revision>1</cp:revision>
  <dcterms:created xsi:type="dcterms:W3CDTF">2026-03-20T00:00:00Z</dcterms:created>
  <dcterms:modified xsi:type="dcterms:W3CDTF">2026-03-20T00:00:00Z</dcterms:modified>
  <cp:category/>
</cp:coreProperties>
</file>