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Seeblick Rechtsanwälte</w:t>
        <w:br/>
        <w:t>Rechtsanwältin Lea Brandt</w:t>
        <w:br/>
        <w:t>Marktstätte 3</w:t>
        <w:br/>
        <w:t>78462 Konstanz</w:t>
      </w:r>
    </w:p>
    <w:p>
      <w:pPr>
        <w:jc w:val="right"/>
      </w:pPr>
      <w:r>
        <w:rPr>
          <w:rFonts w:ascii="Times New Roman" w:hAnsi="Times New Roman" w:eastAsia="Times New Roman" w:cs="Times New Roman"/>
        </w:rPr>
        <w:t>18.11.2026</w:t>
      </w:r>
    </w:p>
    <w:p>
      <w:pPr>
        <w:pStyle w:val="Heading1"/>
      </w:pPr>
      <w:r>
        <w:rPr>
          <w:rFonts w:ascii="Times New Roman" w:hAnsi="Times New Roman" w:eastAsia="Times New Roman" w:cs="Times New Roman"/>
        </w:rPr>
        <w:t>Antwort auf Ihr Schreiben vom 12.11.2026 (Auszug)</w:t>
      </w:r>
    </w:p>
    <w:p>
      <w:pPr>
        <w:widowControl/>
      </w:pPr>
      <w:r>
        <w:rPr>
          <w:rFonts w:ascii="Times New Roman" w:hAnsi="Times New Roman" w:eastAsia="Times New Roman" w:cs="Times New Roman"/>
        </w:rPr>
        <w:t>Das Hausverbot umfasst auch den Zugang zu Halle 2 und zum Schichtbüro. Eine persönliche Abholung von Unterlagen an diesen Arbeitsplätzen ist damit nicht vorgesehen. Soweit persönliche Unterlagen versandt werden, erfolgt dies gesondert; die Korrespondenz mit Ihrer Kanzlei ersetzt keine Zutrittsfreigabe.</w:t>
      </w:r>
    </w:p>
    <w:p>
      <w:pPr>
        <w:widowControl/>
      </w:pPr>
      <w:r>
        <w:rPr>
          <w:rFonts w:ascii="Times New Roman" w:hAnsi="Times New Roman" w:eastAsia="Times New Roman" w:cs="Times New Roman"/>
        </w:rPr>
        <w:t>Bei den in unserer Antwort genannten Vertragsunterlagen handelt es sich um den Arbeitsvertrag vom 15.03.2012 und die Änderungsvereinbarung vom 18.12.2019. Die angekündigte Auskunft zu den personenbezogenen Daten wird getrennt bearbeitet. Dieser Antwort sind keine Videodateien oder sonstigen Datenkopien beigefügt.</w:t>
      </w:r>
    </w:p>
    <w:p>
      <w:pPr>
        <w:widowControl/>
      </w:pPr>
      <w:r>
        <w:rPr>
          <w:rFonts w:ascii="Times New Roman" w:hAnsi="Times New Roman" w:eastAsia="Times New Roman" w:cs="Times New Roman"/>
        </w:rPr>
        <w:t>„Eine Weiterbeschäftigung kommt nach der fristlosen Kündigung nicht in Betracht. Wir erteilen Ihrem Mandanten mit sofortiger Wirkung Hausverbot für das gesamte Werksgelände. Die Abmahnung ist berechtigt und bleibt in der Personalakte. Ein Zwischenzeugnis steht Ihrem Mandanten nach Beendigung nicht zu; ein Endzeugnis erhält er nach Ablauf der Kündigungsfrist. Der Arbeitsvertrag nebst Änderungsvereinbarung liegt Ihrem Mandanten vor; eines weiteren Nachweises bedarf es nicht. Die Auskunft nach Art. 15 DSGVO wird innerhalb der gesetzlichen Frist erteilt. Ansprüche auf den Bonus 2025 sind nach Paragraf 12 des Arbeitsvertrags verfallen. gez. Dr. Henrik Vollmer, Geschäftsführer“</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Antwort auf Ihr Schreiben vom 12.11.2026 (Auszug)</dc:title>
  <dc:subject/>
  <dc:creator>Klotzkette</dc:creator>
  <cp:keywords/>
  <dc:description/>
  <cp:lastModifiedBy>Klotzkette</cp:lastModifiedBy>
  <cp:revision>1</cp:revision>
  <dcterms:created xsi:type="dcterms:W3CDTF">2026-11-18T00:00:00Z</dcterms:created>
  <dcterms:modified xsi:type="dcterms:W3CDTF">2026-11-18T00:00:00Z</dcterms:modified>
  <cp:category/>
</cp:coreProperties>
</file>