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P027</w:t>
        <w:br/>
        <w:t>Lucía Martín, Weichselstraße 38, 12043 Berlin</w:t>
        <w:br/>
        <w:t>Vertragsdatum 18.12.2023</w:t>
      </w:r>
    </w:p>
    <w:p>
      <w:pPr>
        <w:widowControl/>
      </w:pPr>
      <w:r>
        <w:t>Zwischen der Innovation Systems GmbH, vertreten durch die Geschäftsführerin Charlotte Reuter, und Lucía Martín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01.01.2024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UX Designer im Bereich Produkt. Sie gestalten die Bedienoberfläche des Flugleitstands und prüfen die Lesbarkeit der Warnmeldungen. Sie führen protokollierte Nutzergespräche mit dem Support und stimmen Zustände der Oberfläche mit der Entwicklung ab. Entscheidungen über Flugsicherheit werden nicht allein anhand eines Gestaltungsvorschlags getroffen.</w:t>
      </w:r>
    </w:p>
    <w:p>
      <w:pPr>
        <w:widowControl/>
      </w:pPr>
      <w:r>
        <w:t>You deliver editable design files, exported assets and the font licences used for customer releases. A design review takes place before a new interaction pattern enters development. Personal portfolio use requires removal of customer information and approval of the specific screens to be published.</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36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5.400,00 EUR brutto. Es wird nach den gesetzlichen Abzügen bargeldlos auf das vom Arbeitnehmer benannte Konto gezahlt. Die Vergütung muss am letzten Bankarbeitstag des laufenden Monats auf dem benannten Konto gutgeschrieben sein. Bankarbeitstage sind Montag bis Freitag, ausgenommen gesetzliche Feiertage in Berlin und Tage, an denen der Zahlungsverkehr des Kreditinstituts nicht ausgeführt wird.</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pStyle w:val="Heading1"/>
      </w:pPr>
      <w:r>
        <w:t>17 English contract terms</w:t>
      </w:r>
    </w:p>
    <w:p>
      <w:pPr>
        <w:widowControl/>
      </w:pPr>
      <w:r>
        <w:t>The German provisions govern the employment relationship. This English section forms part of the agreement and records the parties' understanding of the technical work. The role is based in Berlin and the stated weekly hours include meetings, testing and documentation. Travel outside Germany requires a separate agreement.</w:t>
      </w:r>
    </w:p>
    <w:p>
      <w:pPr>
        <w:widowControl/>
      </w:pPr>
      <w:r>
        <w:t>The employee supplies editable work files and the associated source material created in the performance of the assigned duties. Pre-existing work and third-party components are identified before incorporation into a customer release. No right to use a third party's software arises merely from the employee's delivery of a file.</w:t>
      </w:r>
    </w:p>
    <w:p>
      <w:pPr>
        <w:widowControl/>
      </w:pPr>
      <w:r>
        <w:t>Salary and notice provisions are stated in the German sections above. The company will explain any difference between language versions before signature. The employee has received both versions and has had the opportunity to ask questions. Mandatory employee protections remain applicable irrespective of the language used in day-to-day communication.</w:t>
      </w:r>
    </w:p>
    <w:p>
      <w:pPr>
        <w:widowControl/>
      </w:pPr>
      <w:r>
        <w:t>Berlin, 18.12.2023</w:t>
      </w:r>
    </w:p>
    <w:p>
      <w:pPr>
        <w:widowControl/>
      </w:pPr>
      <w:r>
        <w:t>Für die Innovation Systems GmbH: Charlotte Reuter</w:t>
      </w:r>
    </w:p>
    <w:p>
      <w:pPr>
        <w:widowControl/>
      </w:pPr>
      <w:r>
        <w:t>Lucía Martín</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