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P040</w:t>
        <w:br/>
        <w:t>Isabel Schwarz, Stettiner Straße 51, 13357 Berlin</w:t>
        <w:br/>
        <w:t>Vertragsdatum 18.12.2020</w:t>
      </w:r>
    </w:p>
    <w:p>
      <w:pPr>
        <w:widowControl/>
      </w:pPr>
      <w:r>
        <w:t>Zwischen der Innovation Systems GmbH, vertreten durch die Geschäftsführerin Charlotte Reuter, und Isabel Schwarz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01.01.2021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Key Account Manager im Bereich Vertrieb. Sie betreuen Netzbetreiber und Wartungsunternehmen, erstellen Angebote auf der Grundlage freigegebener Preislisten und halten Zahlungsbedingungen nach. Zusätzliche Garantien und Vertragsstrafen bedürfen der Geschäftsführungsfreigabe. Ihre Vertriebsfunktion umfasst keine Befugnis zur Personalentscheidung.</w:t>
      </w:r>
    </w:p>
    <w:p>
      <w:pPr>
        <w:widowControl/>
      </w:pPr>
      <w:r>
        <w:t>Zusätzlich zum Grundgehalt beträgt die Provision zwei Prozent der im Kalenderquartal tatsächlich eingegangenen Nettoerlöse aus den Ihnen im Vertriebssystem zugeordneten Neuaufträgen. Rückzahlungen werden im nächsten Abrechnungslauf berücksichtigt. Die Abrechnung erfolgt spätestens am letzten Bankarbeitstag des Folgemonats mit einer nachvollziehbaren Auftragsliste.</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Sämtliche erforderlichen Überstunden sind mit dem vereinbarten Monatsgehalt abgegolten; eine zahlenmäßige Begrenzung wird nicht festgelegt.</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5.200,00 EUR brutto. Es wird nach den gesetzlichen Abzügen bargeldlos auf das vom Arbeitnehmer benannte Konto gezahlt. Die Vergütung ist am letzten Kalendertag des laufenden Monats fällig. Fällt dieser Tag auf einen Samstag, Sonntag oder gesetzlichen Feiertag in Berlin, muss die Gutschrift bereits am vorhergehenden Bankarbeitstag erfolgen.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zwölf Monate nach Beendigung ist eine Tätigkeit in Entwicklung oder Vertrieb ziviler Inspektionsdrohnen bei einem unmittelbaren Wettbewerber in Deutschland untersagt. Die Gesellschaft zahlt für jedes Jahr des Verbots die Hälfte der zuletzt bezogenen vertragsmäßigen Leistungen, monatlich nachschüssig. Anderweitiger Verdienst wird nach den gesetzlichen Voraussetzungen berücksichtigt. Die Regeln der Paragrafen 74 bis 75f HGB bleiben maßgeblich.</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Quartalsende.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18.12.2020</w:t>
      </w:r>
    </w:p>
    <w:p>
      <w:pPr>
        <w:widowControl/>
      </w:pPr>
      <w:r>
        <w:t>Für die Innovation Systems GmbH: Charlotte Reuter</w:t>
      </w:r>
    </w:p>
    <w:p>
      <w:pPr>
        <w:widowControl/>
      </w:pPr>
      <w:r>
        <w:t>Isabel Schwarz</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