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P042</w:t>
        <w:br/>
        <w:t>Melanie Krause, Weichselstraße 53, 12043 Berlin</w:t>
        <w:br/>
        <w:t>Vertragsdatum 17.06.2023</w:t>
      </w:r>
    </w:p>
    <w:p>
      <w:pPr>
        <w:widowControl/>
      </w:pPr>
      <w:r>
        <w:t>Zwischen der Innovation Systems GmbH, vertreten durch die Geschäftsführerin Charlotte Reuter, und Melanie Krause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01.07.2023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Sachbearbeiter Entgeltabrechnung im Bereich Personal. Sie bereiten die Entgeltabrechnung vor und gleichen die Rückmeldungen des Lohnbüros mit den Personaländerungen ab. Sie verwalten die Zahlungsdatei, dürfen aber keine Bankfreigabe allein erteilen. Abweichungen zwischen Vertragsunterlage und Stammdatensatz werden mit Datum an Elias Becker gemeldet.</w:t>
      </w:r>
    </w:p>
    <w:p>
      <w:pPr>
        <w:widowControl/>
      </w:pPr>
      <w:r>
        <w:t>Die Arbeitszeit verteilt sich auf fünf Tage. In der Abrechnungswoche kann die Lage nach vorheriger Abstimmung verschoben werden, ohne die vereinbarte Wochenstundenzahl zu erhöhen. Kontonummern und Gesundheitsunterlagen werden nicht in allgemeine Projektverteiler aufgenommen.</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30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3.600,00 EUR brutto. Es wird nach den gesetzlichen Abzügen bargeldlos auf das vom Arbeitnehmer benannte Konto gezahlt. Die Vergütung ist am letzten Kalendertag des laufenden Monats fällig. Fällt dieser Tag auf einen Samstag, Sonntag oder gesetzlichen Feiertag in Berlin, erfolgt die Gutschrift spätestens am vorhergehenden Bankarbeitstag.</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17.06.2023</w:t>
      </w:r>
    </w:p>
    <w:p>
      <w:pPr>
        <w:widowControl/>
      </w:pPr>
      <w:r>
        <w:t>Für die Innovation Systems GmbH: Charlotte Reuter</w:t>
      </w:r>
    </w:p>
    <w:p>
      <w:pPr>
        <w:widowControl/>
      </w:pPr>
      <w:r>
        <w:t>Melanie Krause</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P042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