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Martin Feldmann, Insolvenzverwalter</w:t>
      </w:r>
    </w:p>
    <w:p>
      <w:r>
        <w:t>Kanzlei Feldmann und Berg, Friedrichstraße 88, 10117 Berlin</w:t>
      </w:r>
    </w:p>
    <w:p>
      <w:pPr>
        <w:pStyle w:val="Title"/>
      </w:pPr>
      <w:r>
        <w:t>Übergabe Personalunterlagen</w:t>
      </w:r>
    </w:p>
    <w:p>
      <w:pPr>
        <w:widowControl/>
      </w:pPr>
      <w:r>
        <w:t>An: Rechtsanwalt Henrik Stahl, Kanzlei Stahl und Voss, Berlin</w:t>
      </w:r>
    </w:p>
    <w:p>
      <w:pPr>
        <w:widowControl/>
      </w:pPr>
      <w:r>
        <w:t>Berlin, 08.09.2026</w:t>
      </w:r>
    </w:p>
    <w:p>
      <w:pPr>
        <w:widowControl/>
      </w:pPr>
      <w:r>
        <w:t>Sehr geehrter Herr Stahl,</w:t>
      </w:r>
    </w:p>
    <w:p>
      <w:pPr>
        <w:widowControl/>
      </w:pPr>
      <w:r>
        <w:t>anbei übersende ich die bisher aus der Personalablage gesicherten Unterlagen der Innovation Systems GmbH. Der Betrieb arbeitet seit der Eröffnung am 01.09.2026 weiter. Die technische Leitung meldet 50 Arbeitnehmer im Personalbestand; die beiden Geschäftsführer werden in der Gesellschaftsakte gesondert geführt. Leiharbeitnehmer und Auszubildende sind nach Auskunft des Personalbereichs derzeit nicht eingesetzt.</w:t>
      </w:r>
    </w:p>
    <w:p>
      <w:pPr>
        <w:widowControl/>
      </w:pPr>
      <w:r>
        <w:t>Die HavelRotor Technik GmbH hat ihr Angebot für Software, Kundenbeziehungen, Prüftechnik und Teile des Bestands konkretisiert. Sie möchte die Arbeit am bisherigen Standort fortführen und hat in ihrer Kapazitätsplanung 42 Stellen angesetzt. Eine Liste verbindlich zu übernehmender Personen habe ich nicht freigegeben. Der Kaufvertrag ist nicht unterzeichnet. Als möglicher Vollzugstag wird der 01.10.2026 genannt.</w:t>
      </w:r>
    </w:p>
    <w:p>
      <w:pPr>
        <w:widowControl/>
      </w:pPr>
      <w:r>
        <w:t>Elias Becker hat die Vertragsausfertigungen aus mehreren Ablagesystemen zusammengetragen. Für Neumann liegt eine eigene Entwicklungsvertragsfassung vor. Die Nachträge zu Sommer sowie der E-Mail-Verkehr mit Winter wurden erst heute nachgereicht. Die früheren Adressfelder der neun neu abgelegten Verträge sind unverändert; der Betrieb ist 2024 in die Rudower Chaussee umgezogen.</w:t>
      </w:r>
    </w:p>
    <w:p>
      <w:pPr>
        <w:widowControl/>
      </w:pPr>
      <w:r>
        <w:t>Zur Augustabrechnung gibt es einen abgeschlossenen Abrechnungslauf, aber bislang nur Abschlagszahlungen. Die Zahlungsdatei des Lohnbüros wurde nicht vollständig ausgeführt. Die Gesellschaft hat außerdem vor Antragstellung eine Kündigung an Dennis Wolf übergeben. Die dazu eingegangene gerichtliche Nachricht befindet sich in der Akte.</w:t>
      </w:r>
    </w:p>
    <w:p>
      <w:pPr>
        <w:widowControl/>
      </w:pPr>
      <w:r>
        <w:t>Für morgen um 11:30 Uhr ist ein gemeinsames Gespräch mit Personalbereich und Betriebsrat vorgesehen. Bitte bestätigen Sie zunächst nur den Erhalt der Dateien; personenbezogene Unterlagen sollen nicht unkontrolliert an die Käuferin weitergeleitet werden.</w:t>
      </w:r>
    </w:p>
    <w:p>
      <w:pPr>
        <w:widowControl/>
      </w:pPr>
      <w:r>
        <w:t>Mit freundlichen Grüßen</w:t>
        <w:br/>
        <w:t>Dr. Martin Feldmann</w:t>
        <w:br/>
        <w:t>Rechtsanwalt, Insolvenzverwalter</w:t>
        <w:br/>
        <w:t>Telefon 030 5550 2271-20</w:t>
        <w:br/>
        <w:t>kanzlei@feldmann-berg-recht.de</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IS-26-84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Dr. Martin Feldmann, Insolvenzverwalter  |  IS-26-84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Übergabe Personalunterlagen</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