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APB-0011</w:t>
      </w:r>
    </w:p>
    <w:p>
      <w:r>
        <w:t>Vertrag zwischen Ashcombe Personal Bank plc, Niederlassung Erfurt und Rosalie Ziegenhagen über 30.000,00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Rosalie Ziegenhagen, Silberweide 2, 99092 Erfurt. Der angegebene Beruf lautet Bibliothekarin.</w:t>
      </w:r>
    </w:p>
    <w:p>
      <w:r>
        <w:t>Das Darlehen dient folgendem privaten Zweck: Solaranlage ohne grundpfandrechtliche Sicherheit.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30.000,00 EUR. Die Auszahlung erfolgt am 30.09.2023 in einer Summe nach beiderseitiger Unterzeichnung und Freigabe der angegebenen Empfangsverbindung. Die Auszahlungsreferenz lautet AZ-APB-0011.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Eine interne Buchung ersetzt den tatsächlichen Auszahlungsnachweis nicht.</w:t>
      </w:r>
    </w:p>
    <w:p>
      <w:pPr>
        <w:pStyle w:val="Heading1"/>
      </w:pPr>
      <w:r>
        <w:t>3 Laufzeit und Tilgung</w:t>
      </w:r>
    </w:p>
    <w:p>
      <w:r>
        <w:t>Die Laufzeit beginnt mit der Auszahlung und endet bei vertragsgemäßer Durchführung am 30.09.2028. Der Darlehensnehmer leistet 60 monatliche Tilgungsanteile von jeweils 500,00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4.80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4.91 Prozent. Berechnungsannahmen sind vollständige Auszahlung am 30.09.2023, 60 Monatszahlungen und das Fehlen zusätzlicher Pflichtkosten.</w:t>
      </w:r>
    </w:p>
    <w:p>
      <w:r>
        <w:t>Bei unverändert planmäßiger Durchführung beträgt der Gesamtbetrag aller Zahlungen 33.660,00 EUR. Davon entfallen 3.660,00 EUR auf Zinsen. Die erste Zahlung beträgt 620,00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Es werden keine Sicherheiten bestellt. Ein Zugriff auf Arbeitseinkommen ist nicht vereinbart.</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3,95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Die Bank darf Forderungen aus diesem Vertrag im Rahmen der gesetzlichen und vertraglichen Voraussetzungen übertragen. Die bestehenden Einwendungen und vereinbarten Konditionen werden durch einen Gläubigerwechsel nicht einseitig geändert. Eine Übertragung sämtlicher Vertragspflichten ist mit dieser Erklärung nicht vereinbart.</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Rosalie Ziegenhagen. Die archivierte Abschrift gibt die Namen der Unterzeichnenden als Text wieder. Die Originalsignaturen und gegebenenfalls elektronischen Signaturprotokolle sind gesondert aufzubewahren.</w:t>
      </w:r>
    </w:p>
    <w:p>
      <w:r>
        <w:t>Archivvermerk: Die Vertragsabschrift wird mit der Vertragsnummer geführt; Hinweise auf gesonderte Anlagen belegen deren tatsächlichen Zugang nicht.</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