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Tabellenreview-Setup — Projekt Silberfalke</w:t>
      </w:r>
    </w:p>
    <w:p>
      <w:pPr>
        <w:jc w:val="left"/>
      </w:pPr>
      <w:r>
        <w:rPr>
          <w:b/>
        </w:rPr>
        <w:t>Aktenzeichen:</w:t>
      </w:r>
      <w:r>
        <w:t xml:space="preserve"> MWK/2024/SIL-001</w:t>
      </w:r>
    </w:p>
    <w:p>
      <w:pPr>
        <w:jc w:val="left"/>
      </w:pPr>
      <w:r>
        <w:rPr>
          <w:b/>
        </w:rPr>
        <w:t>Dokument-Nr.:</w:t>
      </w:r>
      <w:r>
        <w:t xml:space="preserve"> TABREV-SETUP-001/SIL</w:t>
      </w:r>
    </w:p>
    <w:p>
      <w:pPr>
        <w:jc w:val="left"/>
      </w:pPr>
      <w:r>
        <w:rPr>
          <w:b/>
        </w:rPr>
        <w:t>Datum:</w:t>
      </w:r>
      <w:r>
        <w:t xml:space="preserve"> 28. November 2024</w:t>
      </w:r>
    </w:p>
    <w:p>
      <w:pPr>
        <w:jc w:val="left"/>
      </w:pPr>
      <w:r>
        <w:rPr>
          <w:b/>
        </w:rPr>
        <w:t>Verfasserin:</w:t>
      </w:r>
      <w:r>
        <w:t xml:space="preserve"> Katharina Pfeiffer, Senior Associate</w:t>
      </w:r>
    </w:p>
    <w:p>
      <w:pPr>
        <w:jc w:val="left"/>
      </w:pPr>
      <w:r>
        <w:rPr>
          <w:b/>
        </w:rPr>
        <w:t>Adressat:</w:t>
      </w:r>
      <w:r>
        <w:t xml:space="preserve"> DD-Team / Associate Tim Berger</w:t>
      </w:r>
    </w:p>
    <w:p>
      <w:pPr>
        <w:jc w:val="left"/>
      </w:pPr>
      <w:r>
        <w:rPr>
          <w:b/>
        </w:rPr>
        <w:t>Betreff:</w:t>
      </w:r>
      <w:r>
        <w:t xml:space="preserve"> Setup und Arbeitsanleitung Vertragsreview-Tabelle (Commercial Workstream)</w:t>
      </w:r>
    </w:p>
    <w:p/>
    <w:p>
      <w:pPr>
        <w:pStyle w:val="Heading2"/>
      </w:pPr>
      <w:r>
        <w:rPr>
          <w:rFonts w:ascii="Times New Roman" w:hAnsi="Times New Roman"/>
        </w:rPr>
        <w:t>1. Zweck</w:t>
      </w:r>
    </w:p>
    <w:p>
      <w:pPr>
        <w:jc w:val="left"/>
      </w:pPr>
      <w:r>
        <w:t>Dieser Vermerk beschreibt das Vorgehen für den strukturierten Tabellenreview der kommerziellen Vertragsunterlagen im Datenraum des Projekts Silberfalke. Ziel ist es, alle wesentlichen Vertragsparameter der Top-20-Verträge auf einer einheitlichen Tabelle (review_grid.csv / Excel-Workbook) zu erfassen, um:</w:t>
      </w:r>
    </w:p>
    <w:p>
      <w:pPr>
        <w:pStyle w:val="ListBullet"/>
      </w:pPr>
      <w:r>
        <w:t>eine schnelle Risikoübersicht für ECP zu ermöglichen,</w:t>
      </w:r>
    </w:p>
    <w:p>
      <w:pPr>
        <w:pStyle w:val="ListBullet"/>
      </w:pPr>
      <w:r>
        <w:t>SPA-Implikationen (Garantien, Freistellungen) vorzubereiten,</w:t>
      </w:r>
    </w:p>
    <w:p>
      <w:pPr>
        <w:pStyle w:val="ListBullet"/>
      </w:pPr>
      <w:r>
        <w:t>Grundlage für die Commercial Due Diligence von McKinsey zu liefern.</w:t>
      </w:r>
    </w:p>
    <w:p/>
    <w:p>
      <w:pPr>
        <w:pStyle w:val="Heading2"/>
      </w:pPr>
      <w:r>
        <w:rPr>
          <w:rFonts w:ascii="Times New Roman" w:hAnsi="Times New Roman"/>
        </w:rPr>
        <w:t>2. Umfang der zu prüfenden Verträge</w:t>
      </w:r>
    </w:p>
    <w:p>
      <w:pPr>
        <w:pStyle w:val="Heading3"/>
      </w:pPr>
      <w:r>
        <w:rPr>
          <w:rFonts w:ascii="Times New Roman" w:hAnsi="Times New Roman"/>
        </w:rPr>
        <w:t>2.1 Priorisierungskriterien</w:t>
      </w:r>
    </w:p>
    <w:p>
      <w:pPr>
        <w:jc w:val="left"/>
      </w:pPr>
      <w:r>
        <w:t>In die Tabelle werden alle Verträge aufgenommen, die mindestens eines der folgenden Kriterien erfüllen:</w:t>
      </w:r>
    </w:p>
    <w:p>
      <w:pPr>
        <w:pStyle w:val="ListBullet"/>
      </w:pPr>
      <w:r>
        <w:t>Jahresumsatz ≥ EUR 2 Mio.</w:t>
      </w:r>
    </w:p>
    <w:p>
      <w:pPr>
        <w:pStyle w:val="ListBullet"/>
      </w:pPr>
      <w:r>
        <w:t>Laufzeit länger als 18 Monate nach geplantem Closing (31. März 2025)</w:t>
      </w:r>
    </w:p>
    <w:p>
      <w:pPr>
        <w:pStyle w:val="ListBullet"/>
      </w:pPr>
      <w:r>
        <w:t>Explizite Change-of-Control-Klausel, Exklusivität oder Liability-Cap-Klausel</w:t>
      </w:r>
    </w:p>
    <w:p>
      <w:pPr>
        <w:pStyle w:val="ListBullet"/>
      </w:pPr>
      <w:r>
        <w:t>Teil des Carve-out-Perimeters (TSA, IP-Lizenz, konzerninterner Vertrag)</w:t>
      </w:r>
    </w:p>
    <w:p>
      <w:pPr>
        <w:pStyle w:val="Heading3"/>
      </w:pPr>
      <w:r>
        <w:rPr>
          <w:rFonts w:ascii="Times New Roman" w:hAnsi="Times New Roman"/>
        </w:rPr>
        <w:t>2.2 Vertragsumfang</w:t>
      </w:r>
    </w:p>
    <w:p>
      <w:pPr>
        <w:jc w:val="left"/>
      </w:pPr>
      <w:r>
        <w:t>Für diese DD werden geprüft:</w:t>
      </w:r>
    </w:p>
    <w:p>
      <w:pPr>
        <w:pStyle w:val="ListBullet"/>
      </w:pPr>
      <w:r>
        <w:rPr>
          <w:b/>
        </w:rPr>
        <w:t>Kundenverträge:</w:t>
      </w:r>
      <w:r>
        <w:t xml:space="preserve"> Top-12 nach Umsatz (C-001 bis C-012 — bereits in commercial_contracts_sample.csv)</w:t>
      </w:r>
    </w:p>
    <w:p>
      <w:pPr>
        <w:pStyle w:val="ListBullet"/>
      </w:pPr>
      <w:r>
        <w:rPr>
          <w:b/>
        </w:rPr>
        <w:t>Lieferantenverträge:</w:t>
      </w:r>
      <w:r>
        <w:t xml:space="preserve"> Top-5 nach Kritikalität (Halbleiter, Elektromotoren, Logistik)</w:t>
      </w:r>
    </w:p>
    <w:p>
      <w:pPr>
        <w:pStyle w:val="ListBullet"/>
      </w:pPr>
      <w:r>
        <w:rPr>
          <w:b/>
        </w:rPr>
        <w:t>TSA-Entwürfe:</w:t>
      </w:r>
      <w:r>
        <w:t xml:space="preserve"> IT, HR, Treasury, Versicherung (4 Entwürfe)</w:t>
      </w:r>
    </w:p>
    <w:p>
      <w:pPr>
        <w:pStyle w:val="ListBullet"/>
      </w:pPr>
      <w:r>
        <w:rPr>
          <w:b/>
        </w:rPr>
        <w:t>IP-Lizenzverträge:</w:t>
      </w:r>
      <w:r>
        <w:t xml:space="preserve"> IP-Lizenzrahmenvertrag Holding → Target (1 Entwurf)</w:t>
      </w:r>
    </w:p>
    <w:p>
      <w:pPr>
        <w:pStyle w:val="ListBullet"/>
      </w:pPr>
      <w:r>
        <w:rPr>
          <w:b/>
        </w:rPr>
        <w:t>Konzernumlage:</w:t>
      </w:r>
      <w:r>
        <w:t xml:space="preserve"> Kostentragungsvertrag (1 laufender Vertrag)</w:t>
      </w:r>
    </w:p>
    <w:p>
      <w:pPr>
        <w:jc w:val="left"/>
      </w:pPr>
      <w:r>
        <w:t xml:space="preserve">Gesamt: ca. </w:t>
      </w:r>
      <w:r>
        <w:rPr>
          <w:b/>
        </w:rPr>
        <w:t>24 Verträge</w:t>
      </w:r>
      <w:r>
        <w:t xml:space="preserve"> im ersten Review-Durchgang.</w:t>
      </w:r>
    </w:p>
    <w:p/>
    <w:p>
      <w:pPr>
        <w:pStyle w:val="Heading2"/>
      </w:pPr>
      <w:r>
        <w:rPr>
          <w:rFonts w:ascii="Times New Roman" w:hAnsi="Times New Roman"/>
        </w:rPr>
        <w:t>3. Tabellenspalten und Kategorien</w:t>
      </w:r>
    </w:p>
    <w:p>
      <w:pPr>
        <w:pStyle w:val="Heading3"/>
      </w:pPr>
      <w:r>
        <w:rPr>
          <w:rFonts w:ascii="Times New Roman" w:hAnsi="Times New Roman"/>
        </w:rPr>
        <w:t>Blatt 1: Legal Review (Hauptblatt)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Spalten-ID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Erläuterung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doc_id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Interne Dokumenten-ID (z. B. C-001)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partner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Vertragspartner (anonymisiert Kunde A etc.)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typ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Vertragstyp (Liefer-, Rahmen-, Entwicklungs-, Servicevertrag)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laufzeit_bis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Vertragsende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change_of_control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/ nein / bedingt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coc_kuendigung_frist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Kündigungsfrist nach CoC (Tage)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termination_ordinary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Ordentliche Kündigungsfrist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exclusivity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/ nein / beschränkt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liability_cap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Haftungsobergrenze (EUR oder Beschreibung)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assignment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Abtretbarkeit: ja / nein / mit Zustimmung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governing_law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Anwendbares Recht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Gering / Mittel / 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beleg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Vertrags-Section als Nachweis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spa_massnahme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Empfohlene SPA-Klausel / Freistellung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kommentar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Sonstiges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Blatt 2: Tax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Spalten-ID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Erläuterung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doc_id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Dokumenten-ID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partner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Vertragspartner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verrechnungspreis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/ Nein / Arm's Length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quellsteuer_risiko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Quellensteuerrisiko (Land)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umsatzsteuer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Steuerpflicht / Befreiung / Organschaft-Relevanz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bemerkung_tax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Freitext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Blatt 3: Commercial Review (Übergabe an McKinsey)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Spalten-ID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Erläuterung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doc_id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Dokumenten-ID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umsatz_pa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Jahresumsatz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marge_indikativ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Indikative Marge (aus CR-003)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restlaufzeit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Monate bis Vertragsende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kuendigungsrisiko_post_closing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/ Nein / Bedingt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retention_massnahme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Retentionsmaßnahme vor Closing empfohlen?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Blatt 4: PMI-Relevanz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Spalten-ID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Erläuterung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doc_id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Dokumenten-ID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tsa_erforderlich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Ist TSA erforderlich? Ja / Nein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system_migration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IT-Systemwechsel notwendig?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personal_uebergang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613a BGB Übergang?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pmi_prioritaet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 / Mittel / Niedrig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Arbeitsablauf</w:t>
      </w:r>
    </w:p>
    <w:p>
      <w:pPr>
        <w:pStyle w:val="ListNumber"/>
      </w:pPr>
      <w:r>
        <w:rPr>
          <w:b/>
        </w:rPr>
        <w:t>Zuweisung:</w:t>
      </w:r>
      <w:r>
        <w:t xml:space="preserve"> Tim Berger erhält die Primärarbeit an den Kundenverträgen; Katharina Pfeiffer übernimmt TSA-Entwürfe und Konzernverträge. Für steuerliche Spalten (Blatt 2) liefert Dr. Sabine Roth Input.</w:t>
      </w:r>
    </w:p>
    <w:p>
      <w:pPr>
        <w:pStyle w:val="ListNumber"/>
      </w:pPr>
      <w:r>
        <w:rPr>
          <w:b/>
        </w:rPr>
        <w:t>Quellen:</w:t>
      </w:r>
      <w:r>
        <w:t xml:space="preserve"> VDR-Dokumente (Intralinks), identifiziert über vdr_index.csv. Bei Unklarheiten: Q&amp;A-Frage stellen (qa_register.csv).</w:t>
      </w:r>
    </w:p>
    <w:p>
      <w:pPr>
        <w:pStyle w:val="ListNumber"/>
      </w:pPr>
      <w:r>
        <w:rPr>
          <w:b/>
        </w:rPr>
        <w:t>Befüllung:</w:t>
      </w:r>
      <w:r>
        <w:t xml:space="preserve"> Einheitlich in review_grid.csv (Primär) und parallel im XLSX-Workbook (06_tabellenreview/review_grid.xlsx).</w:t>
      </w:r>
    </w:p>
    <w:p>
      <w:pPr>
        <w:pStyle w:val="ListNumber"/>
      </w:pPr>
      <w:r>
        <w:rPr>
          <w:b/>
        </w:rPr>
        <w:t>Qualitätssicherung:</w:t>
      </w:r>
      <w:r>
        <w:t xml:space="preserve"> Jeder Eintrag wird von der Gegenseite gegengelesen. Red-Flag-Felder (Risikoampel HOCH) werden direkt per E-Mail an Dr. Weidemann gemeldet.</w:t>
      </w:r>
    </w:p>
    <w:p>
      <w:pPr>
        <w:pStyle w:val="ListNumber"/>
      </w:pPr>
      <w:r>
        <w:rPr>
          <w:b/>
        </w:rPr>
        <w:t>Deadline:</w:t>
      </w:r>
      <w:r>
        <w:t xml:space="preserve"> Erster vollständiger Entwurf bis </w:t>
      </w:r>
      <w:r>
        <w:rPr>
          <w:b/>
        </w:rPr>
        <w:t>6. Dezember 2024</w:t>
      </w:r>
      <w:r>
        <w:t xml:space="preserve">, finaler Stand bis </w:t>
      </w:r>
      <w:r>
        <w:rPr>
          <w:b/>
        </w:rPr>
        <w:t>12. Dezember 2024</w:t>
      </w:r>
      <w:r>
        <w:t>.</w:t>
      </w:r>
    </w:p>
    <w:p/>
    <w:p>
      <w:pPr>
        <w:pStyle w:val="Heading2"/>
      </w:pPr>
      <w:r>
        <w:rPr>
          <w:rFonts w:ascii="Times New Roman" w:hAnsi="Times New Roman"/>
        </w:rPr>
        <w:t>5. Hinweise zur Interpretation</w:t>
      </w:r>
    </w:p>
    <w:p>
      <w:pPr>
        <w:pStyle w:val="ListBullet"/>
      </w:pPr>
      <w:r>
        <w:rPr>
          <w:b/>
        </w:rPr>
        <w:t>Change-of-Control "bedingt":</w:t>
      </w:r>
      <w:r>
        <w:t xml:space="preserve"> Bedeutet, dass die Klausel nur bei Überschreiten eines Schwellenwerts (&gt; 25 % oder &gt; 50 %) greift. Formulierung im Vertrag ist entscheidend.</w:t>
      </w:r>
    </w:p>
    <w:p>
      <w:pPr>
        <w:pStyle w:val="ListBullet"/>
      </w:pPr>
      <w:r>
        <w:rPr>
          <w:b/>
        </w:rPr>
        <w:t>Liability Cap "uncapped":</w:t>
      </w:r>
      <w:r>
        <w:t xml:space="preserve"> Bedeutet, dass keine vertragliche Haftungsbegrenzung vereinbart wurde. Dies ist aus Käufersicht besonders risikoreich, da der Verkäufer im SPA-Garantieregime diese Risiken vollständig übernehmen muss.</w:t>
      </w:r>
    </w:p>
    <w:p>
      <w:pPr>
        <w:pStyle w:val="ListBullet"/>
      </w:pPr>
      <w:r>
        <w:rPr>
          <w:b/>
        </w:rPr>
        <w:t>Assignment:</w:t>
      </w:r>
      <w:r>
        <w:t xml:space="preserve"> Vertragsübertragungs- und Abtretungsklauseln sind bei Share Deals theoretisch nicht direkt ausgelöst (die Gesellschaft bleibt Vertragspartner); trotzdem können Zustimmungsklauseln formuliert sein, die auf den Anteilserwerb abstellen.</w:t>
      </w:r>
    </w:p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