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Ordinary Course Monitor — Projekt Silberfalke</w:t>
      </w:r>
    </w:p>
    <w:p>
      <w:pPr>
        <w:jc w:val="left"/>
      </w:pPr>
      <w:r>
        <w:rPr>
          <w:b/>
        </w:rPr>
        <w:t>Aktenzeichen:</w:t>
      </w:r>
      <w:r>
        <w:t xml:space="preserve"> MA-2026-SF-001</w:t>
      </w:r>
    </w:p>
    <w:p>
      <w:pPr>
        <w:jc w:val="left"/>
      </w:pPr>
      <w:r>
        <w:rPr>
          <w:b/>
        </w:rPr>
        <w:t>Berichtszeitraum:</w:t>
      </w:r>
      <w:r>
        <w:t xml:space="preserve"> Signing (15.05.2026) bis voraussichtliches Closing (15.09.2026)</w:t>
      </w:r>
    </w:p>
    <w:p>
      <w:pPr>
        <w:jc w:val="left"/>
      </w:pPr>
      <w:r>
        <w:rPr>
          <w:b/>
        </w:rPr>
        <w:t>Erstellt:</w:t>
      </w:r>
      <w:r>
        <w:t xml:space="preserve"> 15.05.2026</w:t>
      </w:r>
    </w:p>
    <w:p>
      <w:pPr>
        <w:jc w:val="left"/>
      </w:pPr>
      <w:r>
        <w:rPr>
          <w:b/>
        </w:rPr>
        <w:t>Letzte Aktualisierung:</w:t>
      </w:r>
      <w:r>
        <w:t xml:space="preserve"> 20.05.2026</w:t>
      </w:r>
    </w:p>
    <w:p>
      <w:pPr>
        <w:jc w:val="left"/>
      </w:pPr>
      <w:r>
        <w:rPr>
          <w:b/>
        </w:rPr>
        <w:t>Verfasser:</w:t>
      </w:r>
      <w:r>
        <w:t xml:space="preserve"> Counsel B (M&amp;A-Gruppe)</w:t>
      </w:r>
    </w:p>
    <w:p>
      <w:pPr>
        <w:jc w:val="left"/>
      </w:pPr>
      <w:r>
        <w:rPr>
          <w:b/>
        </w:rPr>
        <w:t>Adressat:</w:t>
      </w:r>
      <w:r>
        <w:t xml:space="preserve"> Deal Team / Eagle Capital Partners</w:t>
      </w:r>
    </w:p>
    <w:p/>
    <w:p>
      <w:pPr>
        <w:pStyle w:val="Heading2"/>
      </w:pPr>
      <w:r>
        <w:rPr>
          <w:rFonts w:ascii="Times New Roman" w:hAnsi="Times New Roman"/>
        </w:rPr>
        <w:t>1. Hintergrund und Zweck</w:t>
      </w:r>
    </w:p>
    <w:p>
      <w:pPr>
        <w:jc w:val="left"/>
      </w:pPr>
      <w:r>
        <w:t>Der zwischen Solaris Industries AG (Verkäufer) und Eagle Capital Partners Fund V GmbH &amp; Co. KG (Käuferin) unterzeichnete Anteilskaufvertrag (SPA) vom 15.05.2026 enthält in Ziffer 9 (Betrieb im gewöhnlichen Geschäftsgang / Ordinary Course Covenants) eine Reihe von Verhaltenspflichten der Verkäuferseite zwischen Signing und Closing. Dieser Monitor dokumentiert alle bekannten Abweichungen, Consent-Anfragen und Eskalationen.</w:t>
      </w:r>
    </w:p>
    <w:p/>
    <w:p>
      <w:pPr>
        <w:pStyle w:val="Heading2"/>
      </w:pPr>
      <w:r>
        <w:rPr>
          <w:rFonts w:ascii="Times New Roman" w:hAnsi="Times New Roman"/>
        </w:rPr>
        <w:t>2. Ordinary-Course-Pflichten gem. SPA § 9</w:t>
      </w:r>
    </w:p>
    <w:p>
      <w:pPr>
        <w:pStyle w:val="Heading3"/>
      </w:pPr>
      <w:r>
        <w:rPr>
          <w:rFonts w:ascii="Times New Roman" w:hAnsi="Times New Roman"/>
        </w:rPr>
        <w:t>2.1 Positive Handlungspflichten (Tun)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Pflicht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Referenz SPA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OC-01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Betrieb im gewöhnlichen Geschäftsgang führen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9.1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Laufend überwacht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OC-02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Monatliche Liquiditätsreports an Käuferin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9.4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Bericht April: erhalten 18.05.2026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OC-03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Capex-Investitionen gem. Capex-Budget fortführen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9.2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Im Plan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OC-04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Bestandspflege Versicherungsschutz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9.6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Erneuerung Juli bestätigt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OC-05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Intercompany-Forderungen einfrieren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9.8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Clean gestellt zum 15.05.2026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2.2 Negative Handlungspflichten (Unterlassen ohne Consent)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Verbot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Referenz SPA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OC-10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Kapitalerhöhungen / Kapitalherabsetzungen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9.1 (a)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geplant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OC-11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Veräußerungen wesentlicher Assets (&gt; EUR 500.000)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9.1 (b)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OC-12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wesentlichen Vertragsabschlüsse / -kündigungen (&gt; EUR 200.000)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9.1 (c)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Offen → Ereignis OC-E-001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OC-13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Neueinstellungen / Abfindungen Führungsebene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9.1 (d)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OC-14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Dividenden / Ausschüttungen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9.1 (e)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OC-15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Änderung Rechnungslegungsmethoden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9.1 (f)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OC-16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Insolvenzeröffnungsanträge, keine Kredite &gt; EUR 1 Mio.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9.1 (g)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Ereignisprotokoll</w:t>
      </w:r>
    </w:p>
    <w:p>
      <w:pPr>
        <w:pStyle w:val="Heading3"/>
      </w:pPr>
      <w:r>
        <w:rPr>
          <w:rFonts w:ascii="Times New Roman" w:hAnsi="Times New Roman"/>
        </w:rPr>
        <w:t>Ereignis OC-E-001 — Lieferantenvertrag Müller Antriebstechnik GmbH</w:t>
      </w:r>
    </w:p>
    <w:p>
      <w:pPr>
        <w:jc w:val="left"/>
      </w:pPr>
      <w:r>
        <w:rPr>
          <w:b/>
        </w:rPr>
        <w:t>Datum:</w:t>
      </w:r>
      <w:r>
        <w:t xml:space="preserve"> 17.05.2026</w:t>
      </w:r>
    </w:p>
    <w:p>
      <w:pPr>
        <w:jc w:val="left"/>
      </w:pPr>
      <w:r>
        <w:rPr>
          <w:b/>
        </w:rPr>
        <w:t>Meldung durch:</w:t>
      </w:r>
      <w:r>
        <w:t xml:space="preserve"> CFO Solaris, Herrn Dr. Fischer</w:t>
      </w:r>
    </w:p>
    <w:p>
      <w:pPr>
        <w:jc w:val="left"/>
      </w:pPr>
      <w:r>
        <w:rPr>
          <w:b/>
        </w:rPr>
        <w:t>Sachverhalt:</w:t>
      </w:r>
      <w:r>
        <w:t xml:space="preserve"> Solaris Industries AG plant, den Rahmenliefervertrag mit Müller Antriebstechnik GmbH (Laufzeit: 31.12.2027, Jahresvolumen ca. EUR 1,2 Mio.) aus wichtigem Grund fristlos zu kündigen. Anlass: Lieferverzug über 45 Tage bei zwei Komponenten-Chargen, Vertragsstrafe per Mahnung angedroht.</w:t>
      </w:r>
    </w:p>
    <w:p>
      <w:pPr>
        <w:jc w:val="left"/>
      </w:pPr>
      <w:r>
        <w:rPr>
          <w:b/>
        </w:rPr>
        <w:t>Einordnung:</w:t>
      </w:r>
      <w:r>
        <w:t xml:space="preserve"> Die Kündigung eines Vertrags mit einem Jahresvolumen von EUR 1,2 Mio. überschreitet den Consenterfordernis-Schwellenwert gem. SPA § 9.1 (c) i.H.v. EUR 200.000. Der Vertrag ist zudem als wesentlicher Zulieferer im Disclosure Schedule (Anlage 7.4) gelistet.</w:t>
      </w:r>
    </w:p>
    <w:p>
      <w:pPr>
        <w:jc w:val="left"/>
      </w:pPr>
      <w:r>
        <w:rPr>
          <w:b/>
        </w:rPr>
        <w:t>Consent-Prozess: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Schriftliche Consent-Anfrage Solaris an Eagle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Eingegangen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Informationspaket vorbereiten (Vertrag, Mahnung, Alternativangebot)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 Bearbeitung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Eagle Entscheidung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Anwaltliche Freigabe falls Consent erteilt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26.05.2026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</w:tbl>
    <w:p>
      <w:pPr>
        <w:jc w:val="left"/>
      </w:pPr>
      <w:r>
        <w:rPr>
          <w:b/>
        </w:rPr>
        <w:t>Empfehlung Kanzlei:</w:t>
      </w:r>
      <w:r>
        <w:t xml:space="preserve"> Consent grundsätzlich erteilbar, sofern Solaris nachweist, dass Alternativlieferant gesichert ist (Angebot Nordtec GmbH liegt vor). Wichtig: Kündigung erst nach schriftlichem Consent erklären. Lieferausfall im Closing-Zeitraum würde Material Adverse Change-Prüfung auslösen (§ 11.3 SPA).</w:t>
      </w:r>
    </w:p>
    <w:p/>
    <w:p>
      <w:pPr>
        <w:pStyle w:val="Heading3"/>
      </w:pPr>
      <w:r>
        <w:rPr>
          <w:rFonts w:ascii="Times New Roman" w:hAnsi="Times New Roman"/>
        </w:rPr>
        <w:t>Ereignis OC-E-002 — HR: Freistellung Vertriebsleiter</w:t>
      </w:r>
    </w:p>
    <w:p>
      <w:pPr>
        <w:jc w:val="left"/>
      </w:pPr>
      <w:r>
        <w:rPr>
          <w:b/>
        </w:rPr>
        <w:t>Datum:</w:t>
      </w:r>
      <w:r>
        <w:t xml:space="preserve"> 19.05.2026</w:t>
      </w:r>
    </w:p>
    <w:p>
      <w:pPr>
        <w:jc w:val="left"/>
      </w:pPr>
      <w:r>
        <w:rPr>
          <w:b/>
        </w:rPr>
        <w:t>Meldung durch:</w:t>
      </w:r>
      <w:r>
        <w:t xml:space="preserve"> HR-Direktorin Solaris, Frau Reinhardt</w:t>
      </w:r>
    </w:p>
    <w:p>
      <w:pPr>
        <w:jc w:val="left"/>
      </w:pPr>
      <w:r>
        <w:rPr>
          <w:b/>
        </w:rPr>
        <w:t>Sachverhalt:</w:t>
      </w:r>
      <w:r>
        <w:t xml:space="preserve"> Der Vertriebsleiter (Gesamtvergütung: EUR 280.000 p.a.) hat selbst gekündigt zum 31.08.2026. Solaris möchte ihn sofort freistellen und eine Abfindungsvereinbarung schließen (geschätzt: 6 Monatsgehälter, ca. EUR 140.000).</w:t>
      </w:r>
    </w:p>
    <w:p>
      <w:pPr>
        <w:jc w:val="left"/>
      </w:pPr>
      <w:r>
        <w:rPr>
          <w:b/>
        </w:rPr>
        <w:t>Einordnung:</w:t>
      </w:r>
      <w:r>
        <w:t xml:space="preserve"> Abfindungsvereinbarung auf Führungsebene erfordert Consent gem. SPA § 9.1 (d).</w:t>
      </w:r>
    </w:p>
    <w:p>
      <w:pPr>
        <w:jc w:val="left"/>
      </w:pPr>
      <w:r>
        <w:rPr>
          <w:b/>
        </w:rPr>
        <w:t>Status:</w:t>
      </w:r>
      <w:r>
        <w:t xml:space="preserve"> Consent-Anfrage vorbereitung läuft, Ziel Einreichung 21.05.2026.</w:t>
      </w:r>
    </w:p>
    <w:p/>
    <w:p>
      <w:pPr>
        <w:pStyle w:val="Heading2"/>
      </w:pPr>
      <w:r>
        <w:rPr>
          <w:rFonts w:ascii="Times New Roman" w:hAnsi="Times New Roman"/>
        </w:rPr>
        <w:t>4. Tabellarische Übersicht aller Consent-Vorgänge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Beschreibung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Eingang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Consent erteilt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OC-E-001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Kündigung Lieferantenvertrag Müller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Alternativlieferant prüfen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OC-E-002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Freistellung + Abfindung Vertriebsleiter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21.05.2026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Abfindungshöhe verhandeln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Eskalationsmatrix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Eskalationsstufe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Trigger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Zuständigkeit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Stufe 1: Kanzlei-intern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Neue Consent-Anfrage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Counsel B informiert Partner 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Stufe 2: Eagle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Consent-Anfrage &gt; EUR 500.000 oder strategische Relevanz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Partner A + Eagle Deal-Team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Stufe 3: MAC-Prüfung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Ereignis könnte Material Adverse Change auslösen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Partner A + Valuation Expert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Stufe 4: Long-Stop-Prozess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Closing-Bedingung gefährdet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Partner A + Eagle GC + Solaris GC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6. Nächste Schritte</w:t>
      </w:r>
    </w:p>
    <w:p>
      <w:pPr>
        <w:pStyle w:val="ListBullet"/>
      </w:pPr>
      <w:r>
        <w:t>[ ] OC-E-001: Eagle-Consent bis 25.05.2026 einholen</w:t>
      </w:r>
    </w:p>
    <w:p>
      <w:pPr>
        <w:pStyle w:val="ListBullet"/>
      </w:pPr>
      <w:r>
        <w:t>[ ] OC-E-002: Abfindungsformel finalisieren, Consent-Antrag einreichen</w:t>
      </w:r>
    </w:p>
    <w:p>
      <w:pPr>
        <w:pStyle w:val="ListBullet"/>
      </w:pPr>
      <w:r>
        <w:t>[ ] Capex-Monitoring für Mai anfordern (fällig 05.06.2026)</w:t>
      </w:r>
    </w:p>
    <w:p>
      <w:pPr>
        <w:pStyle w:val="ListBullet"/>
      </w:pPr>
      <w:r>
        <w:t>[ ] Liquiditätsbericht für Mai (fällig 18.06.2026)</w:t>
      </w:r>
    </w:p>
    <w:p>
      <w:pPr>
        <w:pStyle w:val="ListBullet"/>
      </w:pPr>
      <w:r>
        <w:t>[ ] CP-Register mit Regulatory Counsel abgleichen</w:t>
      </w:r>
    </w:p>
    <w:p/>
    <w:p>
      <w:pPr>
        <w:jc w:val="left"/>
      </w:pPr>
      <w:r>
        <w:rPr>
          <w:i/>
        </w:rPr>
        <w:t>Aktenvermerk-Nr.: AV-OCM-2026-001 | Privileged &amp; Confidential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