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KI-DD-Transparenzlog — Projekt Silberfalke</w:t>
      </w:r>
    </w:p>
    <w:p>
      <w:pPr>
        <w:jc w:val="left"/>
      </w:pPr>
      <w:r>
        <w:rPr>
          <w:b/>
        </w:rPr>
        <w:t>Aktenzeichen:</w:t>
      </w:r>
      <w:r>
        <w:t xml:space="preserve"> MA-2026-SF-001</w:t>
      </w:r>
    </w:p>
    <w:p>
      <w:pPr>
        <w:jc w:val="left"/>
      </w:pPr>
      <w:r>
        <w:rPr>
          <w:b/>
        </w:rPr>
        <w:t>Erstellt:</w:t>
      </w:r>
      <w:r>
        <w:t xml:space="preserve"> 20.04.2026</w:t>
      </w:r>
    </w:p>
    <w:p>
      <w:pPr>
        <w:jc w:val="left"/>
      </w:pPr>
      <w:r>
        <w:rPr>
          <w:b/>
        </w:rPr>
        <w:t>Letzte Aktualisierung:</w:t>
      </w:r>
      <w:r>
        <w:t xml:space="preserve"> 18.05.2026</w:t>
      </w:r>
    </w:p>
    <w:p>
      <w:pPr>
        <w:jc w:val="left"/>
      </w:pPr>
      <w:r>
        <w:rPr>
          <w:b/>
        </w:rPr>
        <w:t>Verfasser:</w:t>
      </w:r>
      <w:r>
        <w:t xml:space="preserve"> Associate B (DD-Koordination)</w:t>
      </w:r>
    </w:p>
    <w:p>
      <w:pPr>
        <w:jc w:val="left"/>
      </w:pPr>
      <w:r>
        <w:rPr>
          <w:b/>
        </w:rPr>
        <w:t>Zweck:</w:t>
      </w:r>
      <w:r>
        <w:t xml:space="preserve"> Dokumentation des KI-unterstützten Dokumentenreviews für W&amp;I-Underwriting-Pack und interne Qualitätssicherung</w:t>
      </w:r>
    </w:p>
    <w:p/>
    <w:p>
      <w:pPr>
        <w:pStyle w:val="Heading2"/>
      </w:pPr>
      <w:r>
        <w:rPr>
          <w:rFonts w:ascii="Times New Roman" w:hAnsi="Times New Roman"/>
        </w:rPr>
        <w:t>1. Hintergrund und Zielsetzung</w:t>
      </w:r>
    </w:p>
    <w:p>
      <w:pPr>
        <w:jc w:val="left"/>
      </w:pPr>
      <w:r>
        <w:t>Im Rahmen der Legal Due Diligence wurden 847 Vertragsdokumente aus dem Datenraum (Virtual Data Room, VDR-Plattform SilverSpace) mithilfe eines KI-basierten Dokument-Review-Tools vorgeprüft. Dieses Tool wurde für die erste Sichtung (First Pass) eingesetzt, um das Reviewteam zu unterstützen. Alle durch das Tool als erheblich identifizierten Findings wurden durch einen Senior Counsel oder Partner überprüft (Senior Review). Dieses Dokument hält Methodik, Stichprobe und Qualitätssicherungsmaßnahmen fest.</w:t>
      </w:r>
    </w:p>
    <w:p/>
    <w:p>
      <w:pPr>
        <w:pStyle w:val="Heading2"/>
      </w:pPr>
      <w:r>
        <w:rPr>
          <w:rFonts w:ascii="Times New Roman" w:hAnsi="Times New Roman"/>
        </w:rPr>
        <w:t>2. Eingesetztes Tool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Details</w:t>
            </w:r>
          </w:p>
        </w:tc>
      </w:tr>
      <w:tr>
        <w:tc>
          <w:tcPr>
            <w:tcW w:type="dxa" w:w="4536"/>
          </w:tcPr>
          <w:p>
            <w:r>
              <w:rPr>
                <w:rFonts w:ascii="Times New Roman" w:hAnsi="Times New Roman"/>
                <w:sz w:val="20"/>
              </w:rPr>
              <w:t>Tool / Plattform</w:t>
            </w:r>
          </w:p>
        </w:tc>
        <w:tc>
          <w:tcPr>
            <w:tcW w:type="dxa" w:w="4536"/>
          </w:tcPr>
          <w:p>
            <w:r>
              <w:rPr>
                <w:rFonts w:ascii="Times New Roman" w:hAnsi="Times New Roman"/>
                <w:sz w:val="20"/>
              </w:rPr>
              <w:t>KI-Vertragsanalyse-Modul (Name intern nicht offenzulegen ggü. Underwriter)</w:t>
            </w:r>
          </w:p>
        </w:tc>
      </w:tr>
      <w:tr>
        <w:tc>
          <w:tcPr>
            <w:tcW w:type="dxa" w:w="4536"/>
          </w:tcPr>
          <w:p>
            <w:r>
              <w:rPr>
                <w:rFonts w:ascii="Times New Roman" w:hAnsi="Times New Roman"/>
                <w:sz w:val="20"/>
              </w:rPr>
              <w:t>Einsatzbereich</w:t>
            </w:r>
          </w:p>
        </w:tc>
        <w:tc>
          <w:tcPr>
            <w:tcW w:type="dxa" w:w="4536"/>
          </w:tcPr>
          <w:p>
            <w:r>
              <w:rPr>
                <w:rFonts w:ascii="Times New Roman" w:hAnsi="Times New Roman"/>
                <w:sz w:val="20"/>
              </w:rPr>
              <w:t>Erstlektüre kommerzielle Verträge, Arbeitsverträge, IP-Lizenzen</w:t>
            </w:r>
          </w:p>
        </w:tc>
      </w:tr>
      <w:tr>
        <w:tc>
          <w:tcPr>
            <w:tcW w:type="dxa" w:w="4536"/>
          </w:tcPr>
          <w:p>
            <w:r>
              <w:rPr>
                <w:rFonts w:ascii="Times New Roman" w:hAnsi="Times New Roman"/>
                <w:sz w:val="20"/>
              </w:rPr>
              <w:t>Review-Sprachen</w:t>
            </w:r>
          </w:p>
        </w:tc>
        <w:tc>
          <w:tcPr>
            <w:tcW w:type="dxa" w:w="4536"/>
          </w:tcPr>
          <w:p>
            <w:r>
              <w:rPr>
                <w:rFonts w:ascii="Times New Roman" w:hAnsi="Times New Roman"/>
                <w:sz w:val="20"/>
              </w:rPr>
              <w:t>Deutsch, Englisch</w:t>
            </w:r>
          </w:p>
        </w:tc>
      </w:tr>
      <w:tr>
        <w:tc>
          <w:tcPr>
            <w:tcW w:type="dxa" w:w="4536"/>
          </w:tcPr>
          <w:p>
            <w:r>
              <w:rPr>
                <w:rFonts w:ascii="Times New Roman" w:hAnsi="Times New Roman"/>
                <w:sz w:val="20"/>
              </w:rPr>
              <w:t>Datenraum-Abdeckung</w:t>
            </w:r>
          </w:p>
        </w:tc>
        <w:tc>
          <w:tcPr>
            <w:tcW w:type="dxa" w:w="4536"/>
          </w:tcPr>
          <w:p>
            <w:r>
              <w:rPr>
                <w:rFonts w:ascii="Times New Roman" w:hAnsi="Times New Roman"/>
                <w:sz w:val="20"/>
              </w:rPr>
              <w:t>847 Dokumente (von 1.204 gesamten DR-Dokumenten)</w:t>
            </w:r>
          </w:p>
        </w:tc>
      </w:tr>
      <w:tr>
        <w:tc>
          <w:tcPr>
            <w:tcW w:type="dxa" w:w="4536"/>
          </w:tcPr>
          <w:p>
            <w:r>
              <w:rPr>
                <w:rFonts w:ascii="Times New Roman" w:hAnsi="Times New Roman"/>
                <w:sz w:val="20"/>
              </w:rPr>
              <w:t>Ausschlüsse</w:t>
            </w:r>
          </w:p>
        </w:tc>
        <w:tc>
          <w:tcPr>
            <w:tcW w:type="dxa" w:w="4536"/>
          </w:tcPr>
          <w:p>
            <w:r>
              <w:rPr>
                <w:rFonts w:ascii="Times New Roman" w:hAnsi="Times New Roman"/>
                <w:sz w:val="20"/>
              </w:rPr>
              <w:t>Finanzunterlagen (durch Financial DD), Behördenkorrespondenz (manuell)</w:t>
            </w:r>
          </w:p>
        </w:tc>
      </w:tr>
    </w:tbl>
    <w:p/>
    <w:p>
      <w:pPr>
        <w:pStyle w:val="Heading2"/>
      </w:pPr>
      <w:r>
        <w:rPr>
          <w:rFonts w:ascii="Times New Roman" w:hAnsi="Times New Roman"/>
        </w:rPr>
        <w:t>3. Stichprobenplan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Kategorie</w:t>
            </w:r>
          </w:p>
        </w:tc>
        <w:tc>
          <w:tcPr>
            <w:tcW w:type="dxa" w:w="1814"/>
          </w:tcPr>
          <w:p>
            <w:r>
              <w:rPr>
                <w:rFonts w:ascii="Times New Roman" w:hAnsi="Times New Roman"/>
                <w:b/>
                <w:sz w:val="20"/>
              </w:rPr>
              <w:t>Dokumente im DR</w:t>
            </w:r>
          </w:p>
        </w:tc>
        <w:tc>
          <w:tcPr>
            <w:tcW w:type="dxa" w:w="1814"/>
          </w:tcPr>
          <w:p>
            <w:r>
              <w:rPr>
                <w:rFonts w:ascii="Times New Roman" w:hAnsi="Times New Roman"/>
                <w:b/>
                <w:sz w:val="20"/>
              </w:rPr>
              <w:t>KI-geprüft</w:t>
            </w:r>
          </w:p>
        </w:tc>
        <w:tc>
          <w:tcPr>
            <w:tcW w:type="dxa" w:w="1814"/>
          </w:tcPr>
          <w:p>
            <w:r>
              <w:rPr>
                <w:rFonts w:ascii="Times New Roman" w:hAnsi="Times New Roman"/>
                <w:b/>
                <w:sz w:val="20"/>
              </w:rPr>
              <w:t>Manuelle Stichprobe (20 %)</w:t>
            </w:r>
          </w:p>
        </w:tc>
        <w:tc>
          <w:tcPr>
            <w:tcW w:type="dxa" w:w="1814"/>
          </w:tcPr>
          <w:p>
            <w:r>
              <w:rPr>
                <w:rFonts w:ascii="Times New Roman" w:hAnsi="Times New Roman"/>
                <w:b/>
                <w:sz w:val="20"/>
              </w:rPr>
              <w:t>Senior-Review (rote Findings)</w:t>
            </w:r>
          </w:p>
        </w:tc>
      </w:tr>
      <w:tr>
        <w:tc>
          <w:tcPr>
            <w:tcW w:type="dxa" w:w="1814"/>
          </w:tcPr>
          <w:p>
            <w:r>
              <w:rPr>
                <w:rFonts w:ascii="Times New Roman" w:hAnsi="Times New Roman"/>
                <w:sz w:val="20"/>
              </w:rPr>
              <w:t>Kommerzielle Verträge C-001 bis C-020</w:t>
            </w:r>
          </w:p>
        </w:tc>
        <w:tc>
          <w:tcPr>
            <w:tcW w:type="dxa" w:w="1814"/>
          </w:tcPr>
          <w:p>
            <w:r>
              <w:rPr>
                <w:rFonts w:ascii="Times New Roman" w:hAnsi="Times New Roman"/>
                <w:sz w:val="20"/>
              </w:rPr>
              <w:t>287</w:t>
            </w:r>
          </w:p>
        </w:tc>
        <w:tc>
          <w:tcPr>
            <w:tcW w:type="dxa" w:w="1814"/>
          </w:tcPr>
          <w:p>
            <w:r>
              <w:rPr>
                <w:rFonts w:ascii="Times New Roman" w:hAnsi="Times New Roman"/>
                <w:sz w:val="20"/>
              </w:rPr>
              <w:t>287</w:t>
            </w:r>
          </w:p>
        </w:tc>
        <w:tc>
          <w:tcPr>
            <w:tcW w:type="dxa" w:w="1814"/>
          </w:tcPr>
          <w:p>
            <w:r>
              <w:rPr>
                <w:rFonts w:ascii="Times New Roman" w:hAnsi="Times New Roman"/>
                <w:sz w:val="20"/>
              </w:rPr>
              <w:t>57</w:t>
            </w:r>
          </w:p>
        </w:tc>
        <w:tc>
          <w:tcPr>
            <w:tcW w:type="dxa" w:w="1814"/>
          </w:tcPr>
          <w:p>
            <w:r>
              <w:rPr>
                <w:rFonts w:ascii="Times New Roman" w:hAnsi="Times New Roman"/>
                <w:sz w:val="20"/>
              </w:rPr>
              <w:t>12 (alle roten)</w:t>
            </w:r>
          </w:p>
        </w:tc>
      </w:tr>
      <w:tr>
        <w:tc>
          <w:tcPr>
            <w:tcW w:type="dxa" w:w="1814"/>
          </w:tcPr>
          <w:p>
            <w:r>
              <w:rPr>
                <w:rFonts w:ascii="Times New Roman" w:hAnsi="Times New Roman"/>
                <w:sz w:val="20"/>
              </w:rPr>
              <w:t>Arbeitsverträge / Geschäftsführerverträge</w:t>
            </w:r>
          </w:p>
        </w:tc>
        <w:tc>
          <w:tcPr>
            <w:tcW w:type="dxa" w:w="1814"/>
          </w:tcPr>
          <w:p>
            <w:r>
              <w:rPr>
                <w:rFonts w:ascii="Times New Roman" w:hAnsi="Times New Roman"/>
                <w:sz w:val="20"/>
              </w:rPr>
              <w:t>143</w:t>
            </w:r>
          </w:p>
        </w:tc>
        <w:tc>
          <w:tcPr>
            <w:tcW w:type="dxa" w:w="1814"/>
          </w:tcPr>
          <w:p>
            <w:r>
              <w:rPr>
                <w:rFonts w:ascii="Times New Roman" w:hAnsi="Times New Roman"/>
                <w:sz w:val="20"/>
              </w:rPr>
              <w:t>143</w:t>
            </w:r>
          </w:p>
        </w:tc>
        <w:tc>
          <w:tcPr>
            <w:tcW w:type="dxa" w:w="1814"/>
          </w:tcPr>
          <w:p>
            <w:r>
              <w:rPr>
                <w:rFonts w:ascii="Times New Roman" w:hAnsi="Times New Roman"/>
                <w:sz w:val="20"/>
              </w:rPr>
              <w:t>29</w:t>
            </w:r>
          </w:p>
        </w:tc>
        <w:tc>
          <w:tcPr>
            <w:tcW w:type="dxa" w:w="1814"/>
          </w:tcPr>
          <w:p>
            <w:r>
              <w:rPr>
                <w:rFonts w:ascii="Times New Roman" w:hAnsi="Times New Roman"/>
                <w:sz w:val="20"/>
              </w:rPr>
              <w:t>4</w:t>
            </w:r>
          </w:p>
        </w:tc>
      </w:tr>
      <w:tr>
        <w:tc>
          <w:tcPr>
            <w:tcW w:type="dxa" w:w="1814"/>
          </w:tcPr>
          <w:p>
            <w:r>
              <w:rPr>
                <w:rFonts w:ascii="Times New Roman" w:hAnsi="Times New Roman"/>
                <w:sz w:val="20"/>
              </w:rPr>
              <w:t>IP-Lizenzverträge</w:t>
            </w:r>
          </w:p>
        </w:tc>
        <w:tc>
          <w:tcPr>
            <w:tcW w:type="dxa" w:w="1814"/>
          </w:tcPr>
          <w:p>
            <w:r>
              <w:rPr>
                <w:rFonts w:ascii="Times New Roman" w:hAnsi="Times New Roman"/>
                <w:sz w:val="20"/>
              </w:rPr>
              <w:t>89</w:t>
            </w:r>
          </w:p>
        </w:tc>
        <w:tc>
          <w:tcPr>
            <w:tcW w:type="dxa" w:w="1814"/>
          </w:tcPr>
          <w:p>
            <w:r>
              <w:rPr>
                <w:rFonts w:ascii="Times New Roman" w:hAnsi="Times New Roman"/>
                <w:sz w:val="20"/>
              </w:rPr>
              <w:t>89</w:t>
            </w:r>
          </w:p>
        </w:tc>
        <w:tc>
          <w:tcPr>
            <w:tcW w:type="dxa" w:w="1814"/>
          </w:tcPr>
          <w:p>
            <w:r>
              <w:rPr>
                <w:rFonts w:ascii="Times New Roman" w:hAnsi="Times New Roman"/>
                <w:sz w:val="20"/>
              </w:rPr>
              <w:t>18</w:t>
            </w:r>
          </w:p>
        </w:tc>
        <w:tc>
          <w:tcPr>
            <w:tcW w:type="dxa" w:w="1814"/>
          </w:tcPr>
          <w:p>
            <w:r>
              <w:rPr>
                <w:rFonts w:ascii="Times New Roman" w:hAnsi="Times New Roman"/>
                <w:sz w:val="20"/>
              </w:rPr>
              <w:t>6</w:t>
            </w:r>
          </w:p>
        </w:tc>
      </w:tr>
      <w:tr>
        <w:tc>
          <w:tcPr>
            <w:tcW w:type="dxa" w:w="1814"/>
          </w:tcPr>
          <w:p>
            <w:r>
              <w:rPr>
                <w:rFonts w:ascii="Times New Roman" w:hAnsi="Times New Roman"/>
                <w:sz w:val="20"/>
              </w:rPr>
              <w:t>Lieferantenverträge</w:t>
            </w:r>
          </w:p>
        </w:tc>
        <w:tc>
          <w:tcPr>
            <w:tcW w:type="dxa" w:w="1814"/>
          </w:tcPr>
          <w:p>
            <w:r>
              <w:rPr>
                <w:rFonts w:ascii="Times New Roman" w:hAnsi="Times New Roman"/>
                <w:sz w:val="20"/>
              </w:rPr>
              <w:t>191</w:t>
            </w:r>
          </w:p>
        </w:tc>
        <w:tc>
          <w:tcPr>
            <w:tcW w:type="dxa" w:w="1814"/>
          </w:tcPr>
          <w:p>
            <w:r>
              <w:rPr>
                <w:rFonts w:ascii="Times New Roman" w:hAnsi="Times New Roman"/>
                <w:sz w:val="20"/>
              </w:rPr>
              <w:t>191</w:t>
            </w:r>
          </w:p>
        </w:tc>
        <w:tc>
          <w:tcPr>
            <w:tcW w:type="dxa" w:w="1814"/>
          </w:tcPr>
          <w:p>
            <w:r>
              <w:rPr>
                <w:rFonts w:ascii="Times New Roman" w:hAnsi="Times New Roman"/>
                <w:sz w:val="20"/>
              </w:rPr>
              <w:t>38</w:t>
            </w:r>
          </w:p>
        </w:tc>
        <w:tc>
          <w:tcPr>
            <w:tcW w:type="dxa" w:w="1814"/>
          </w:tcPr>
          <w:p>
            <w:r>
              <w:rPr>
                <w:rFonts w:ascii="Times New Roman" w:hAnsi="Times New Roman"/>
                <w:sz w:val="20"/>
              </w:rPr>
              <w:t>9</w:t>
            </w:r>
          </w:p>
        </w:tc>
      </w:tr>
      <w:tr>
        <w:tc>
          <w:tcPr>
            <w:tcW w:type="dxa" w:w="1814"/>
          </w:tcPr>
          <w:p>
            <w:r>
              <w:rPr>
                <w:rFonts w:ascii="Times New Roman" w:hAnsi="Times New Roman"/>
                <w:sz w:val="20"/>
              </w:rPr>
              <w:t>Mietverträge / Betriebsgelände</w:t>
            </w:r>
          </w:p>
        </w:tc>
        <w:tc>
          <w:tcPr>
            <w:tcW w:type="dxa" w:w="1814"/>
          </w:tcPr>
          <w:p>
            <w:r>
              <w:rPr>
                <w:rFonts w:ascii="Times New Roman" w:hAnsi="Times New Roman"/>
                <w:sz w:val="20"/>
              </w:rPr>
              <w:t>47</w:t>
            </w:r>
          </w:p>
        </w:tc>
        <w:tc>
          <w:tcPr>
            <w:tcW w:type="dxa" w:w="1814"/>
          </w:tcPr>
          <w:p>
            <w:r>
              <w:rPr>
                <w:rFonts w:ascii="Times New Roman" w:hAnsi="Times New Roman"/>
                <w:sz w:val="20"/>
              </w:rPr>
              <w:t>47</w:t>
            </w:r>
          </w:p>
        </w:tc>
        <w:tc>
          <w:tcPr>
            <w:tcW w:type="dxa" w:w="1814"/>
          </w:tcPr>
          <w:p>
            <w:r>
              <w:rPr>
                <w:rFonts w:ascii="Times New Roman" w:hAnsi="Times New Roman"/>
                <w:sz w:val="20"/>
              </w:rPr>
              <w:t>9</w:t>
            </w:r>
          </w:p>
        </w:tc>
        <w:tc>
          <w:tcPr>
            <w:tcW w:type="dxa" w:w="1814"/>
          </w:tcPr>
          <w:p>
            <w:r>
              <w:rPr>
                <w:rFonts w:ascii="Times New Roman" w:hAnsi="Times New Roman"/>
                <w:sz w:val="20"/>
              </w:rPr>
              <w:t>2</w:t>
            </w:r>
          </w:p>
        </w:tc>
      </w:tr>
      <w:tr>
        <w:tc>
          <w:tcPr>
            <w:tcW w:type="dxa" w:w="1814"/>
          </w:tcPr>
          <w:p>
            <w:r>
              <w:rPr>
                <w:rFonts w:ascii="Times New Roman" w:hAnsi="Times New Roman"/>
                <w:sz w:val="20"/>
              </w:rPr>
              <w:t>Sonstige (Versicherungen, Satzungen etc.)</w:t>
            </w:r>
          </w:p>
        </w:tc>
        <w:tc>
          <w:tcPr>
            <w:tcW w:type="dxa" w:w="1814"/>
          </w:tcPr>
          <w:p>
            <w:r>
              <w:rPr>
                <w:rFonts w:ascii="Times New Roman" w:hAnsi="Times New Roman"/>
                <w:sz w:val="20"/>
              </w:rPr>
              <w:t>90</w:t>
            </w:r>
          </w:p>
        </w:tc>
        <w:tc>
          <w:tcPr>
            <w:tcW w:type="dxa" w:w="1814"/>
          </w:tcPr>
          <w:p>
            <w:r>
              <w:rPr>
                <w:rFonts w:ascii="Times New Roman" w:hAnsi="Times New Roman"/>
                <w:sz w:val="20"/>
              </w:rPr>
              <w:t>90</w:t>
            </w:r>
          </w:p>
        </w:tc>
        <w:tc>
          <w:tcPr>
            <w:tcW w:type="dxa" w:w="1814"/>
          </w:tcPr>
          <w:p>
            <w:r>
              <w:rPr>
                <w:rFonts w:ascii="Times New Roman" w:hAnsi="Times New Roman"/>
                <w:sz w:val="20"/>
              </w:rPr>
              <w:t>18</w:t>
            </w:r>
          </w:p>
        </w:tc>
        <w:tc>
          <w:tcPr>
            <w:tcW w:type="dxa" w:w="1814"/>
          </w:tcPr>
          <w:p>
            <w:r>
              <w:rPr>
                <w:rFonts w:ascii="Times New Roman" w:hAnsi="Times New Roman"/>
                <w:sz w:val="20"/>
              </w:rPr>
              <w:t>0</w:t>
            </w:r>
          </w:p>
        </w:tc>
      </w:tr>
      <w:tr>
        <w:tc>
          <w:tcPr>
            <w:tcW w:type="dxa" w:w="1814"/>
          </w:tcPr>
          <w:p>
            <w:r>
              <w:rPr>
                <w:rFonts w:ascii="Times New Roman" w:hAnsi="Times New Roman"/>
                <w:b/>
                <w:sz w:val="20"/>
              </w:rPr>
              <w:t>Gesamt</w:t>
            </w:r>
          </w:p>
        </w:tc>
        <w:tc>
          <w:tcPr>
            <w:tcW w:type="dxa" w:w="1814"/>
          </w:tcPr>
          <w:p>
            <w:r>
              <w:rPr>
                <w:rFonts w:ascii="Times New Roman" w:hAnsi="Times New Roman"/>
                <w:b/>
                <w:sz w:val="20"/>
              </w:rPr>
              <w:t>847</w:t>
            </w:r>
          </w:p>
        </w:tc>
        <w:tc>
          <w:tcPr>
            <w:tcW w:type="dxa" w:w="1814"/>
          </w:tcPr>
          <w:p>
            <w:r>
              <w:rPr>
                <w:rFonts w:ascii="Times New Roman" w:hAnsi="Times New Roman"/>
                <w:b/>
                <w:sz w:val="20"/>
              </w:rPr>
              <w:t>847</w:t>
            </w:r>
          </w:p>
        </w:tc>
        <w:tc>
          <w:tcPr>
            <w:tcW w:type="dxa" w:w="1814"/>
          </w:tcPr>
          <w:p>
            <w:r>
              <w:rPr>
                <w:rFonts w:ascii="Times New Roman" w:hAnsi="Times New Roman"/>
                <w:b/>
                <w:sz w:val="20"/>
              </w:rPr>
              <w:t>169</w:t>
            </w:r>
          </w:p>
        </w:tc>
        <w:tc>
          <w:tcPr>
            <w:tcW w:type="dxa" w:w="1814"/>
          </w:tcPr>
          <w:p>
            <w:r>
              <w:rPr>
                <w:rFonts w:ascii="Times New Roman" w:hAnsi="Times New Roman"/>
                <w:b/>
                <w:sz w:val="20"/>
              </w:rPr>
              <w:t>33</w:t>
            </w:r>
          </w:p>
        </w:tc>
      </w:tr>
    </w:tbl>
    <w:p/>
    <w:p>
      <w:pPr>
        <w:pStyle w:val="Heading2"/>
      </w:pPr>
      <w:r>
        <w:rPr>
          <w:rFonts w:ascii="Times New Roman" w:hAnsi="Times New Roman"/>
        </w:rPr>
        <w:t>4. Klassifizierung der Findings</w:t>
      </w:r>
    </w:p>
    <w:p>
      <w:pPr>
        <w:pStyle w:val="Heading3"/>
      </w:pPr>
      <w:r>
        <w:rPr>
          <w:rFonts w:ascii="Times New Roman" w:hAnsi="Times New Roman"/>
        </w:rPr>
        <w:t>4.1 Ampel-System</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Kategorie</w:t>
            </w:r>
          </w:p>
        </w:tc>
        <w:tc>
          <w:tcPr>
            <w:tcW w:type="dxa" w:w="2268"/>
          </w:tcPr>
          <w:p>
            <w:r>
              <w:rPr>
                <w:rFonts w:ascii="Times New Roman" w:hAnsi="Times New Roman"/>
                <w:b/>
                <w:sz w:val="20"/>
              </w:rPr>
              <w:t>Beschreibung</w:t>
            </w:r>
          </w:p>
        </w:tc>
        <w:tc>
          <w:tcPr>
            <w:tcW w:type="dxa" w:w="2268"/>
          </w:tcPr>
          <w:p>
            <w:r>
              <w:rPr>
                <w:rFonts w:ascii="Times New Roman" w:hAnsi="Times New Roman"/>
                <w:b/>
                <w:sz w:val="20"/>
              </w:rPr>
              <w:t>Anzahl</w:t>
            </w:r>
          </w:p>
        </w:tc>
        <w:tc>
          <w:tcPr>
            <w:tcW w:type="dxa" w:w="2268"/>
          </w:tcPr>
          <w:p>
            <w:r>
              <w:rPr>
                <w:rFonts w:ascii="Times New Roman" w:hAnsi="Times New Roman"/>
                <w:b/>
                <w:sz w:val="20"/>
              </w:rPr>
              <w:t>Bearbeitung</w:t>
            </w:r>
          </w:p>
        </w:tc>
      </w:tr>
      <w:tr>
        <w:tc>
          <w:tcPr>
            <w:tcW w:type="dxa" w:w="2268"/>
          </w:tcPr>
          <w:p>
            <w:r>
              <w:rPr>
                <w:rFonts w:ascii="Times New Roman" w:hAnsi="Times New Roman"/>
                <w:sz w:val="20"/>
              </w:rPr>
              <w:t>Rot (Red Flag)</w:t>
            </w:r>
          </w:p>
        </w:tc>
        <w:tc>
          <w:tcPr>
            <w:tcW w:type="dxa" w:w="2268"/>
          </w:tcPr>
          <w:p>
            <w:r>
              <w:rPr>
                <w:rFonts w:ascii="Times New Roman" w:hAnsi="Times New Roman"/>
                <w:sz w:val="20"/>
              </w:rPr>
              <w:t>Materielle Risiken; möglicher Material-Adverse-Effect</w:t>
            </w:r>
          </w:p>
        </w:tc>
        <w:tc>
          <w:tcPr>
            <w:tcW w:type="dxa" w:w="2268"/>
          </w:tcPr>
          <w:p>
            <w:r>
              <w:rPr>
                <w:rFonts w:ascii="Times New Roman" w:hAnsi="Times New Roman"/>
                <w:sz w:val="20"/>
              </w:rPr>
              <w:t>33</w:t>
            </w:r>
          </w:p>
        </w:tc>
        <w:tc>
          <w:tcPr>
            <w:tcW w:type="dxa" w:w="2268"/>
          </w:tcPr>
          <w:p>
            <w:r>
              <w:rPr>
                <w:rFonts w:ascii="Times New Roman" w:hAnsi="Times New Roman"/>
                <w:sz w:val="20"/>
              </w:rPr>
              <w:t>Senior Review abgeschlossen</w:t>
            </w:r>
          </w:p>
        </w:tc>
      </w:tr>
      <w:tr>
        <w:tc>
          <w:tcPr>
            <w:tcW w:type="dxa" w:w="2268"/>
          </w:tcPr>
          <w:p>
            <w:r>
              <w:rPr>
                <w:rFonts w:ascii="Times New Roman" w:hAnsi="Times New Roman"/>
                <w:sz w:val="20"/>
              </w:rPr>
              <w:t>Gelb (Watch)</w:t>
            </w:r>
          </w:p>
        </w:tc>
        <w:tc>
          <w:tcPr>
            <w:tcW w:type="dxa" w:w="2268"/>
          </w:tcPr>
          <w:p>
            <w:r>
              <w:rPr>
                <w:rFonts w:ascii="Times New Roman" w:hAnsi="Times New Roman"/>
                <w:sz w:val="20"/>
              </w:rPr>
              <w:t>Mittelrisiken, ggf. Vertragsanpassung nötig</w:t>
            </w:r>
          </w:p>
        </w:tc>
        <w:tc>
          <w:tcPr>
            <w:tcW w:type="dxa" w:w="2268"/>
          </w:tcPr>
          <w:p>
            <w:r>
              <w:rPr>
                <w:rFonts w:ascii="Times New Roman" w:hAnsi="Times New Roman"/>
                <w:sz w:val="20"/>
              </w:rPr>
              <w:t>118</w:t>
            </w:r>
          </w:p>
        </w:tc>
        <w:tc>
          <w:tcPr>
            <w:tcW w:type="dxa" w:w="2268"/>
          </w:tcPr>
          <w:p>
            <w:r>
              <w:rPr>
                <w:rFonts w:ascii="Times New Roman" w:hAnsi="Times New Roman"/>
                <w:sz w:val="20"/>
              </w:rPr>
              <w:t>Associate-Review, Dokumentation</w:t>
            </w:r>
          </w:p>
        </w:tc>
      </w:tr>
      <w:tr>
        <w:tc>
          <w:tcPr>
            <w:tcW w:type="dxa" w:w="2268"/>
          </w:tcPr>
          <w:p>
            <w:r>
              <w:rPr>
                <w:rFonts w:ascii="Times New Roman" w:hAnsi="Times New Roman"/>
                <w:sz w:val="20"/>
              </w:rPr>
              <w:t>Grün (Clean)</w:t>
            </w:r>
          </w:p>
        </w:tc>
        <w:tc>
          <w:tcPr>
            <w:tcW w:type="dxa" w:w="2268"/>
          </w:tcPr>
          <w:p>
            <w:r>
              <w:rPr>
                <w:rFonts w:ascii="Times New Roman" w:hAnsi="Times New Roman"/>
                <w:sz w:val="20"/>
              </w:rPr>
              <w:t>Keine wesentlichen Auffälligkeiten</w:t>
            </w:r>
          </w:p>
        </w:tc>
        <w:tc>
          <w:tcPr>
            <w:tcW w:type="dxa" w:w="2268"/>
          </w:tcPr>
          <w:p>
            <w:r>
              <w:rPr>
                <w:rFonts w:ascii="Times New Roman" w:hAnsi="Times New Roman"/>
                <w:sz w:val="20"/>
              </w:rPr>
              <w:t>696</w:t>
            </w:r>
          </w:p>
        </w:tc>
        <w:tc>
          <w:tcPr>
            <w:tcW w:type="dxa" w:w="2268"/>
          </w:tcPr>
          <w:p>
            <w:r>
              <w:rPr>
                <w:rFonts w:ascii="Times New Roman" w:hAnsi="Times New Roman"/>
                <w:sz w:val="20"/>
              </w:rPr>
              <w:t>KI-Ergebnis bestätigt durch Stichprobe</w:t>
            </w:r>
          </w:p>
        </w:tc>
      </w:tr>
    </w:tbl>
    <w:p>
      <w:pPr>
        <w:pStyle w:val="Heading3"/>
      </w:pPr>
      <w:r>
        <w:rPr>
          <w:rFonts w:ascii="Times New Roman" w:hAnsi="Times New Roman"/>
        </w:rPr>
        <w:t>4.2 Rote Findings — Auswahl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ID</w:t>
            </w:r>
          </w:p>
        </w:tc>
        <w:tc>
          <w:tcPr>
            <w:tcW w:type="dxa" w:w="2268"/>
          </w:tcPr>
          <w:p>
            <w:r>
              <w:rPr>
                <w:rFonts w:ascii="Times New Roman" w:hAnsi="Times New Roman"/>
                <w:b/>
                <w:sz w:val="20"/>
              </w:rPr>
              <w:t>Vertrag</w:t>
            </w:r>
          </w:p>
        </w:tc>
        <w:tc>
          <w:tcPr>
            <w:tcW w:type="dxa" w:w="2268"/>
          </w:tcPr>
          <w:p>
            <w:r>
              <w:rPr>
                <w:rFonts w:ascii="Times New Roman" w:hAnsi="Times New Roman"/>
                <w:b/>
                <w:sz w:val="20"/>
              </w:rPr>
              <w:t>Finding</w:t>
            </w:r>
          </w:p>
        </w:tc>
        <w:tc>
          <w:tcPr>
            <w:tcW w:type="dxa" w:w="2268"/>
          </w:tcPr>
          <w:p>
            <w:r>
              <w:rPr>
                <w:rFonts w:ascii="Times New Roman" w:hAnsi="Times New Roman"/>
                <w:b/>
                <w:sz w:val="20"/>
              </w:rPr>
              <w:t>Status</w:t>
            </w:r>
          </w:p>
        </w:tc>
      </w:tr>
      <w:tr>
        <w:tc>
          <w:tcPr>
            <w:tcW w:type="dxa" w:w="2268"/>
          </w:tcPr>
          <w:p>
            <w:r>
              <w:rPr>
                <w:rFonts w:ascii="Times New Roman" w:hAnsi="Times New Roman"/>
                <w:sz w:val="20"/>
              </w:rPr>
              <w:t>RF-001</w:t>
            </w:r>
          </w:p>
        </w:tc>
        <w:tc>
          <w:tcPr>
            <w:tcW w:type="dxa" w:w="2268"/>
          </w:tcPr>
          <w:p>
            <w:r>
              <w:rPr>
                <w:rFonts w:ascii="Times New Roman" w:hAnsi="Times New Roman"/>
                <w:sz w:val="20"/>
              </w:rPr>
              <w:t>Rahmenvertrag Aero Nordic AS</w:t>
            </w:r>
          </w:p>
        </w:tc>
        <w:tc>
          <w:tcPr>
            <w:tcW w:type="dxa" w:w="2268"/>
          </w:tcPr>
          <w:p>
            <w:r>
              <w:rPr>
                <w:rFonts w:ascii="Times New Roman" w:hAnsi="Times New Roman"/>
                <w:sz w:val="20"/>
              </w:rPr>
              <w:t>Change-of-Control-Klausel: Consent-Pflicht bei &gt; 50 % Anteilsübergang</w:t>
            </w:r>
          </w:p>
        </w:tc>
        <w:tc>
          <w:tcPr>
            <w:tcW w:type="dxa" w:w="2268"/>
          </w:tcPr>
          <w:p>
            <w:r>
              <w:rPr>
                <w:rFonts w:ascii="Times New Roman" w:hAnsi="Times New Roman"/>
                <w:sz w:val="20"/>
              </w:rPr>
              <w:t>CP-14</w:t>
            </w:r>
          </w:p>
        </w:tc>
      </w:tr>
      <w:tr>
        <w:tc>
          <w:tcPr>
            <w:tcW w:type="dxa" w:w="2268"/>
          </w:tcPr>
          <w:p>
            <w:r>
              <w:rPr>
                <w:rFonts w:ascii="Times New Roman" w:hAnsi="Times New Roman"/>
                <w:sz w:val="20"/>
              </w:rPr>
              <w:t>RF-002</w:t>
            </w:r>
          </w:p>
        </w:tc>
        <w:tc>
          <w:tcPr>
            <w:tcW w:type="dxa" w:w="2268"/>
          </w:tcPr>
          <w:p>
            <w:r>
              <w:rPr>
                <w:rFonts w:ascii="Times New Roman" w:hAnsi="Times New Roman"/>
                <w:sz w:val="20"/>
              </w:rPr>
              <w:t>Lizenzvertrag TechSpin GmbH</w:t>
            </w:r>
          </w:p>
        </w:tc>
        <w:tc>
          <w:tcPr>
            <w:tcW w:type="dxa" w:w="2268"/>
          </w:tcPr>
          <w:p>
            <w:r>
              <w:rPr>
                <w:rFonts w:ascii="Times New Roman" w:hAnsi="Times New Roman"/>
                <w:sz w:val="20"/>
              </w:rPr>
              <w:t>Exklusivität an bestimmte Gesellschaft geknüpft (nicht automatisch übertragbar)</w:t>
            </w:r>
          </w:p>
        </w:tc>
        <w:tc>
          <w:tcPr>
            <w:tcW w:type="dxa" w:w="2268"/>
          </w:tcPr>
          <w:p>
            <w:r>
              <w:rPr>
                <w:rFonts w:ascii="Times New Roman" w:hAnsi="Times New Roman"/>
                <w:sz w:val="20"/>
              </w:rPr>
              <w:t>Nachverhandlung</w:t>
            </w:r>
          </w:p>
        </w:tc>
      </w:tr>
      <w:tr>
        <w:tc>
          <w:tcPr>
            <w:tcW w:type="dxa" w:w="2268"/>
          </w:tcPr>
          <w:p>
            <w:r>
              <w:rPr>
                <w:rFonts w:ascii="Times New Roman" w:hAnsi="Times New Roman"/>
                <w:sz w:val="20"/>
              </w:rPr>
              <w:t>RF-003</w:t>
            </w:r>
          </w:p>
        </w:tc>
        <w:tc>
          <w:tcPr>
            <w:tcW w:type="dxa" w:w="2268"/>
          </w:tcPr>
          <w:p>
            <w:r>
              <w:rPr>
                <w:rFonts w:ascii="Times New Roman" w:hAnsi="Times New Roman"/>
                <w:sz w:val="20"/>
              </w:rPr>
              <w:t>GF-Vertrag Dr. Wagner</w:t>
            </w:r>
          </w:p>
        </w:tc>
        <w:tc>
          <w:tcPr>
            <w:tcW w:type="dxa" w:w="2268"/>
          </w:tcPr>
          <w:p>
            <w:r>
              <w:rPr>
                <w:rFonts w:ascii="Times New Roman" w:hAnsi="Times New Roman"/>
                <w:sz w:val="20"/>
              </w:rPr>
              <w:t>Sonderkündigungsrecht bei CoC; Abfindung EUR 350.000</w:t>
            </w:r>
          </w:p>
        </w:tc>
        <w:tc>
          <w:tcPr>
            <w:tcW w:type="dxa" w:w="2268"/>
          </w:tcPr>
          <w:p>
            <w:r>
              <w:rPr>
                <w:rFonts w:ascii="Times New Roman" w:hAnsi="Times New Roman"/>
                <w:sz w:val="20"/>
              </w:rPr>
              <w:t>W&amp;I-Ausschluss</w:t>
            </w:r>
          </w:p>
        </w:tc>
      </w:tr>
      <w:tr>
        <w:tc>
          <w:tcPr>
            <w:tcW w:type="dxa" w:w="2268"/>
          </w:tcPr>
          <w:p>
            <w:r>
              <w:rPr>
                <w:rFonts w:ascii="Times New Roman" w:hAnsi="Times New Roman"/>
                <w:sz w:val="20"/>
              </w:rPr>
              <w:t>RF-004</w:t>
            </w:r>
          </w:p>
        </w:tc>
        <w:tc>
          <w:tcPr>
            <w:tcW w:type="dxa" w:w="2268"/>
          </w:tcPr>
          <w:p>
            <w:r>
              <w:rPr>
                <w:rFonts w:ascii="Times New Roman" w:hAnsi="Times New Roman"/>
                <w:sz w:val="20"/>
              </w:rPr>
              <w:t>Lieferant Müller Antriebstechnik</w:t>
            </w:r>
          </w:p>
        </w:tc>
        <w:tc>
          <w:tcPr>
            <w:tcW w:type="dxa" w:w="2268"/>
          </w:tcPr>
          <w:p>
            <w:r>
              <w:rPr>
                <w:rFonts w:ascii="Times New Roman" w:hAnsi="Times New Roman"/>
                <w:sz w:val="20"/>
              </w:rPr>
              <w:t>Vertragliche Lieferpflicht vs. bevorstehendem Lieferstopp</w:t>
            </w:r>
          </w:p>
        </w:tc>
        <w:tc>
          <w:tcPr>
            <w:tcW w:type="dxa" w:w="2268"/>
          </w:tcPr>
          <w:p>
            <w:r>
              <w:rPr>
                <w:rFonts w:ascii="Times New Roman" w:hAnsi="Times New Roman"/>
                <w:sz w:val="20"/>
              </w:rPr>
              <w:t>OCM OC-E-001</w:t>
            </w:r>
          </w:p>
        </w:tc>
      </w:tr>
      <w:tr>
        <w:tc>
          <w:tcPr>
            <w:tcW w:type="dxa" w:w="2268"/>
          </w:tcPr>
          <w:p>
            <w:r>
              <w:rPr>
                <w:rFonts w:ascii="Times New Roman" w:hAnsi="Times New Roman"/>
                <w:sz w:val="20"/>
              </w:rPr>
              <w:t>RF-005</w:t>
            </w:r>
          </w:p>
        </w:tc>
        <w:tc>
          <w:tcPr>
            <w:tcW w:type="dxa" w:w="2268"/>
          </w:tcPr>
          <w:p>
            <w:r>
              <w:rPr>
                <w:rFonts w:ascii="Times New Roman" w:hAnsi="Times New Roman"/>
                <w:sz w:val="20"/>
              </w:rPr>
              <w:t>Mietvertrag Essener Hauptwerk</w:t>
            </w:r>
          </w:p>
        </w:tc>
        <w:tc>
          <w:tcPr>
            <w:tcW w:type="dxa" w:w="2268"/>
          </w:tcPr>
          <w:p>
            <w:r>
              <w:rPr>
                <w:rFonts w:ascii="Times New Roman" w:hAnsi="Times New Roman"/>
                <w:sz w:val="20"/>
              </w:rPr>
              <w:t>Untervermietungsklausel unklar; benötigt Vermieter-Consent</w:t>
            </w:r>
          </w:p>
        </w:tc>
        <w:tc>
          <w:tcPr>
            <w:tcW w:type="dxa" w:w="2268"/>
          </w:tcPr>
          <w:p>
            <w:r>
              <w:rPr>
                <w:rFonts w:ascii="Times New Roman" w:hAnsi="Times New Roman"/>
                <w:sz w:val="20"/>
              </w:rPr>
              <w:t>Prüfung läuft</w:t>
            </w:r>
          </w:p>
        </w:tc>
      </w:tr>
    </w:tbl>
    <w:p/>
    <w:p>
      <w:pPr>
        <w:pStyle w:val="Heading2"/>
      </w:pPr>
      <w:r>
        <w:rPr>
          <w:rFonts w:ascii="Times New Roman" w:hAnsi="Times New Roman"/>
        </w:rPr>
        <w:t>5. Qualitätssicherungsmaßnahmen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Maßnahme</w:t>
            </w:r>
          </w:p>
        </w:tc>
        <w:tc>
          <w:tcPr>
            <w:tcW w:type="dxa" w:w="4536"/>
          </w:tcPr>
          <w:p>
            <w:r>
              <w:rPr>
                <w:rFonts w:ascii="Times New Roman" w:hAnsi="Times New Roman"/>
                <w:b/>
                <w:sz w:val="20"/>
              </w:rPr>
              <w:t>Details</w:t>
            </w:r>
          </w:p>
        </w:tc>
      </w:tr>
      <w:tr>
        <w:tc>
          <w:tcPr>
            <w:tcW w:type="dxa" w:w="4536"/>
          </w:tcPr>
          <w:p>
            <w:r>
              <w:rPr>
                <w:rFonts w:ascii="Times New Roman" w:hAnsi="Times New Roman"/>
                <w:sz w:val="20"/>
              </w:rPr>
              <w:t>Stichprobenkontrolle</w:t>
            </w:r>
          </w:p>
        </w:tc>
        <w:tc>
          <w:tcPr>
            <w:tcW w:type="dxa" w:w="4536"/>
          </w:tcPr>
          <w:p>
            <w:r>
              <w:rPr>
                <w:rFonts w:ascii="Times New Roman" w:hAnsi="Times New Roman"/>
                <w:sz w:val="20"/>
              </w:rPr>
              <w:t>20 % aller Grün-Klassifizierungen wurden manuell durch Associate überprüft</w:t>
            </w:r>
          </w:p>
        </w:tc>
      </w:tr>
      <w:tr>
        <w:tc>
          <w:tcPr>
            <w:tcW w:type="dxa" w:w="4536"/>
          </w:tcPr>
          <w:p>
            <w:r>
              <w:rPr>
                <w:rFonts w:ascii="Times New Roman" w:hAnsi="Times New Roman"/>
                <w:sz w:val="20"/>
              </w:rPr>
              <w:t>Senior Review</w:t>
            </w:r>
          </w:p>
        </w:tc>
        <w:tc>
          <w:tcPr>
            <w:tcW w:type="dxa" w:w="4536"/>
          </w:tcPr>
          <w:p>
            <w:r>
              <w:rPr>
                <w:rFonts w:ascii="Times New Roman" w:hAnsi="Times New Roman"/>
                <w:sz w:val="20"/>
              </w:rPr>
              <w:t>100 % aller Rot-Findings durch Partner A oder Counsel B bestätigt</w:t>
            </w:r>
          </w:p>
        </w:tc>
      </w:tr>
      <w:tr>
        <w:tc>
          <w:tcPr>
            <w:tcW w:type="dxa" w:w="4536"/>
          </w:tcPr>
          <w:p>
            <w:r>
              <w:rPr>
                <w:rFonts w:ascii="Times New Roman" w:hAnsi="Times New Roman"/>
                <w:sz w:val="20"/>
              </w:rPr>
              <w:t>Konsistenzprüfung</w:t>
            </w:r>
          </w:p>
        </w:tc>
        <w:tc>
          <w:tcPr>
            <w:tcW w:type="dxa" w:w="4536"/>
          </w:tcPr>
          <w:p>
            <w:r>
              <w:rPr>
                <w:rFonts w:ascii="Times New Roman" w:hAnsi="Times New Roman"/>
                <w:sz w:val="20"/>
              </w:rPr>
              <w:t>KI-Klassifizierungen wurden mit dem Q&amp;A-Register abgeglichen</w:t>
            </w:r>
          </w:p>
        </w:tc>
      </w:tr>
      <w:tr>
        <w:tc>
          <w:tcPr>
            <w:tcW w:type="dxa" w:w="4536"/>
          </w:tcPr>
          <w:p>
            <w:r>
              <w:rPr>
                <w:rFonts w:ascii="Times New Roman" w:hAnsi="Times New Roman"/>
                <w:sz w:val="20"/>
              </w:rPr>
              <w:t>Halluzinationscheck</w:t>
            </w:r>
          </w:p>
        </w:tc>
        <w:tc>
          <w:tcPr>
            <w:tcW w:type="dxa" w:w="4536"/>
          </w:tcPr>
          <w:p>
            <w:r>
              <w:rPr>
                <w:rFonts w:ascii="Times New Roman" w:hAnsi="Times New Roman"/>
                <w:sz w:val="20"/>
              </w:rPr>
              <w:t>3 % der KI-Zusammenfassungen enthielten sachliche Fehler → wurden korrigiert</w:t>
            </w:r>
          </w:p>
        </w:tc>
      </w:tr>
      <w:tr>
        <w:tc>
          <w:tcPr>
            <w:tcW w:type="dxa" w:w="4536"/>
          </w:tcPr>
          <w:p>
            <w:r>
              <w:rPr>
                <w:rFonts w:ascii="Times New Roman" w:hAnsi="Times New Roman"/>
                <w:sz w:val="20"/>
              </w:rPr>
              <w:t>Versionskontrolle</w:t>
            </w:r>
          </w:p>
        </w:tc>
        <w:tc>
          <w:tcPr>
            <w:tcW w:type="dxa" w:w="4536"/>
          </w:tcPr>
          <w:p>
            <w:r>
              <w:rPr>
                <w:rFonts w:ascii="Times New Roman" w:hAnsi="Times New Roman"/>
                <w:sz w:val="20"/>
              </w:rPr>
              <w:t>Log-Datei mit Zeitstempel je Dokument vorhanden</w:t>
            </w:r>
          </w:p>
        </w:tc>
      </w:tr>
    </w:tbl>
    <w:p/>
    <w:p>
      <w:pPr>
        <w:pStyle w:val="Heading2"/>
      </w:pPr>
      <w:r>
        <w:rPr>
          <w:rFonts w:ascii="Times New Roman" w:hAnsi="Times New Roman"/>
        </w:rPr>
        <w:t>6. Offenlegung gegenüber Underwriter</w:t>
      </w:r>
    </w:p>
    <w:p>
      <w:pPr>
        <w:jc w:val="left"/>
      </w:pPr>
      <w:r>
        <w:t>Dieser Transparenzlog wird dem W&amp;I-Underwriter (BlueSky Re) als Teil des Underwriting Packs übergeben. Folgende Einschränkungen gelten:</w:t>
      </w:r>
    </w:p>
    <w:p>
      <w:pPr>
        <w:pStyle w:val="ListBullet"/>
      </w:pPr>
      <w:r>
        <w:t>Die Stichprobenquote und Methodik wird offengelegt</w:t>
      </w:r>
    </w:p>
    <w:p>
      <w:pPr>
        <w:pStyle w:val="ListBullet"/>
      </w:pPr>
      <w:r>
        <w:t>Spezifische Tool-Namen und -Versionen werden nicht offengelegt (kein Underwriting-Recht auf Einsicht in proprietäre Software)</w:t>
      </w:r>
    </w:p>
    <w:p>
      <w:pPr>
        <w:pStyle w:val="ListBullet"/>
      </w:pPr>
      <w:r>
        <w:t>Alle roten Findings wurden manuell verifiziert — dies wird ausdrücklich bestätigt</w:t>
      </w:r>
    </w:p>
    <w:p>
      <w:pPr>
        <w:pStyle w:val="ListBullet"/>
      </w:pPr>
      <w:r>
        <w:t>KI-Ergebnisse ersetzen nicht die anwaltliche Beurteilung; alle Rechtsfragen wurden durch qualifizierte Anwälte beurteilt</w:t>
      </w:r>
    </w:p>
    <w:p/>
    <w:p>
      <w:pPr>
        <w:pStyle w:val="Heading2"/>
      </w:pPr>
      <w:r>
        <w:rPr>
          <w:rFonts w:ascii="Times New Roman" w:hAnsi="Times New Roman"/>
        </w:rPr>
        <w:t>7. Fazit</w:t>
      </w:r>
    </w:p>
    <w:p>
      <w:pPr>
        <w:jc w:val="left"/>
      </w:pPr>
      <w:r>
        <w:t>Der KI-gestützte First-Pass hat die Reviewkapazität erheblich erweitert und ermöglichte einen vollständigen Abdeckungsgrad bei vertretbarem Aufwand. Die Qualitätssicherung durch Senior Reviews ist lückenlos dokumentiert. Der Log ist für W&amp;I-Zwecke und als interne Compliance-Dokumentation geeignet.</w:t>
      </w:r>
    </w:p>
    <w:p/>
    <w:p>
      <w:pPr>
        <w:jc w:val="left"/>
      </w:pPr>
      <w:r>
        <w:rPr>
          <w:i/>
        </w:rPr>
        <w:t>Aktenvermerk-Nr.: AV-KI-2026-001 | Privileged &amp; Confidential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