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Board Paper — Investitionsentscheidung Projekt Silberfalke</w:t>
      </w:r>
    </w:p>
    <w:p>
      <w:pPr>
        <w:jc w:val="left"/>
      </w:pPr>
      <w:r>
        <w:rPr>
          <w:b/>
        </w:rPr>
        <w:t>Aktenzeichen:</w:t>
      </w:r>
      <w:r>
        <w:t xml:space="preserve"> MA-2026-SF-001</w:t>
      </w:r>
    </w:p>
    <w:p>
      <w:pPr>
        <w:jc w:val="left"/>
      </w:pPr>
      <w:r>
        <w:rPr>
          <w:b/>
        </w:rPr>
        <w:t>Gremium:</w:t>
      </w:r>
      <w:r>
        <w:t xml:space="preserve"> Investmentkomitee Eagle Capital Partners Fund V</w:t>
      </w:r>
    </w:p>
    <w:p>
      <w:pPr>
        <w:jc w:val="left"/>
      </w:pPr>
      <w:r>
        <w:rPr>
          <w:b/>
        </w:rPr>
        <w:t>Sitzung:</w:t>
      </w:r>
      <w:r>
        <w:t xml:space="preserve"> 12.05.2026, 14:00 Uhr, Frankfurt</w:t>
      </w:r>
    </w:p>
    <w:p>
      <w:pPr>
        <w:jc w:val="left"/>
      </w:pPr>
      <w:r>
        <w:rPr>
          <w:b/>
        </w:rPr>
        <w:t>Verfasser:</w:t>
      </w:r>
      <w:r>
        <w:t xml:space="preserve"> Deal Team Eagle / Kanzlei</w:t>
      </w:r>
    </w:p>
    <w:p>
      <w:pPr>
        <w:jc w:val="left"/>
      </w:pPr>
      <w:r>
        <w:rPr>
          <w:b/>
        </w:rPr>
        <w:t>Vertraulichkeitsstufe:</w:t>
      </w:r>
      <w:r>
        <w:t xml:space="preserve"> Streng vertraulich — nur Komiteemitglieder</w:t>
      </w:r>
    </w:p>
    <w:p/>
    <w:p>
      <w:pPr>
        <w:pStyle w:val="Heading2"/>
      </w:pPr>
      <w:r>
        <w:rPr>
          <w:rFonts w:ascii="Times New Roman" w:hAnsi="Times New Roman"/>
        </w:rPr>
        <w:t>1. Zweck des Board Papers</w:t>
      </w:r>
    </w:p>
    <w:p>
      <w:pPr>
        <w:jc w:val="left"/>
      </w:pPr>
      <w:r>
        <w:t>Dieses Board Paper legt dem Investmentkomitee die vollständigen Informationsgrundlagen für die Entscheidung über folgende Beschlüsse vor:</w:t>
      </w:r>
    </w:p>
    <w:p>
      <w:pPr>
        <w:pStyle w:val="ListNumber"/>
      </w:pPr>
      <w:r>
        <w:rPr>
          <w:b/>
        </w:rPr>
        <w:t>Abgabe eines Binding Offer</w:t>
      </w:r>
      <w:r>
        <w:t xml:space="preserve"> auf den Kauf von 100 % der Anteile an der Solaris Industries AG</w:t>
      </w:r>
    </w:p>
    <w:p>
      <w:pPr>
        <w:pStyle w:val="ListNumber"/>
      </w:pPr>
      <w:r>
        <w:rPr>
          <w:b/>
        </w:rPr>
        <w:t>Verhandlungsmandat SPA</w:t>
      </w:r>
      <w:r>
        <w:t>: Genehmigung des Term Sheets und der wesentlichen Vertragsparameter</w:t>
      </w:r>
    </w:p>
    <w:p>
      <w:pPr>
        <w:pStyle w:val="ListNumber"/>
      </w:pPr>
      <w:r>
        <w:rPr>
          <w:b/>
        </w:rPr>
        <w:t>W&amp;I-Versicherungsmandat</w:t>
      </w:r>
      <w:r>
        <w:t>: Genehmigung der Buy-side-Policy bis EUR 18 Mio. Limit</w:t>
      </w:r>
    </w:p>
    <w:p>
      <w:pPr>
        <w:pStyle w:val="ListNumber"/>
      </w:pPr>
      <w:r>
        <w:rPr>
          <w:b/>
        </w:rPr>
        <w:t>PMI-Budget</w:t>
      </w:r>
      <w:r>
        <w:t>: Genehmigung eines PMI-Initialbudgets von EUR 1,2 Mio.</w:t>
      </w:r>
    </w:p>
    <w:p/>
    <w:p>
      <w:pPr>
        <w:pStyle w:val="Heading2"/>
      </w:pPr>
      <w:r>
        <w:rPr>
          <w:rFonts w:ascii="Times New Roman" w:hAnsi="Times New Roman"/>
        </w:rPr>
        <w:t>2. Transaktionsüberblick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Zielgesellschaft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Solaris Industries AG, Düsseldorf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Transaktion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Erwerb 100 % der Aktien (Share Deal)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Verkäufer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Nordstern Beteiligungs SE, Hamburg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Enterprise Value (EV)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180.000.000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Equity Value (geschätzt)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162.500.000 (nach Abzug Nettoverschuldung EUR 17,5 Mio.)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EV/EBITDA-Multiple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8,6x (EBITDA 2025: EUR 21,0 Mio.)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Finanzierungsstruktur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Eigenkapital Eagle Fund V: ca. EUR 80 Mio.; Fremdkapital: ca. EUR 82 Mio.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Signing (geplant)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 (geplant)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15.09.2026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Informationsgrundlage</w:t>
      </w:r>
    </w:p>
    <w:p>
      <w:pPr>
        <w:pStyle w:val="Heading3"/>
      </w:pPr>
      <w:r>
        <w:rPr>
          <w:rFonts w:ascii="Times New Roman" w:hAnsi="Times New Roman"/>
        </w:rPr>
        <w:t>3.1 Outside-In Analyse (Phase 1, April 2026)</w:t>
      </w:r>
    </w:p>
    <w:p>
      <w:pPr>
        <w:pStyle w:val="ListBullet"/>
      </w:pPr>
      <w:r>
        <w:t>Branchenanalyse: Präzisionsmechanik / Luft- und Raumfahrt-Zulieferer</w:t>
      </w:r>
    </w:p>
    <w:p>
      <w:pPr>
        <w:pStyle w:val="ListBullet"/>
      </w:pPr>
      <w:r>
        <w:t>Marktposition: Top-3-Anbieter in DACH-Region für Antriebskomponenten</w:t>
      </w:r>
    </w:p>
    <w:p>
      <w:pPr>
        <w:pStyle w:val="ListBullet"/>
      </w:pPr>
      <w:r>
        <w:t>Wettbewerbslandschaft: Konsolidierungstrend; Eagle-Investment antizipiert M&amp;A-Roll-up</w:t>
      </w:r>
    </w:p>
    <w:p>
      <w:pPr>
        <w:pStyle w:val="Heading3"/>
      </w:pPr>
      <w:r>
        <w:rPr>
          <w:rFonts w:ascii="Times New Roman" w:hAnsi="Times New Roman"/>
        </w:rPr>
        <w:t>3.2 Legal Due Diligence (Hauptbericht, 08.05.2026)</w:t>
      </w:r>
    </w:p>
    <w:p>
      <w:pPr>
        <w:jc w:val="left"/>
      </w:pPr>
      <w:r>
        <w:rPr>
          <w:b/>
        </w:rPr>
        <w:t>Wesentliche Erkenntnisse: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CoC-Klausel Aero Nordic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CP-14, Consent vor Closing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IP-Lizenz TechSpin nicht übertragbar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Nachverhandlung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Delta Service GmbH Liquiditätsrisiko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StaRUG-Track, Escrow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Müller Antriebstechnik Kündigung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OCM, Alternative gesichert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ITAR ausstehend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Klärung bis 01.06.2026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3.3 Financial Due Diligence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2026E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Umsatz (EUR Mio.)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EBITDA (EUR Mio.)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17,4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19,1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21,0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23,5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EBITDA-Marge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13,6 %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14,0 %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14,7 %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15,5 %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Nettoverschuldung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22,1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18,8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17,5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14,0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Working Capital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11,2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12,1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12,4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13,0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3.4 Tax Due Diligence</w:t>
      </w:r>
    </w:p>
    <w:p>
      <w:pPr>
        <w:jc w:val="left"/>
      </w:pPr>
      <w:r>
        <w:t>Keine steuerlichen Altrisiken über EUR 500.000 identifiziert. Laufende Betriebsprüfung 2022–2023: voraussichtlich keine Nachzahlungen &gt; EUR 200.000. Verlustvortrag EUR 3,2 Mio. (§ 8c KStG unschädlich bei 100 % Erwerb).</w:t>
      </w:r>
    </w:p>
    <w:p>
      <w:pPr>
        <w:pStyle w:val="Heading3"/>
      </w:pPr>
      <w:r>
        <w:rPr>
          <w:rFonts w:ascii="Times New Roman" w:hAnsi="Times New Roman"/>
        </w:rPr>
        <w:t>3.5 Regulatory Map</w:t>
      </w:r>
    </w:p>
    <w:p>
      <w:pPr>
        <w:jc w:val="left"/>
      </w:pPr>
      <w:r>
        <w:t>Anmeldepflichten: BKartA (Phase 1 erwartet, Freigabe wahrscheinlich), BMWK AWV (FDI-Prüfung mittelbar). Closing-Zeitplan berücksichtigt behördliche Fristen.</w:t>
      </w:r>
    </w:p>
    <w:p>
      <w:pPr>
        <w:pStyle w:val="Heading3"/>
      </w:pPr>
      <w:r>
        <w:rPr>
          <w:rFonts w:ascii="Times New Roman" w:hAnsi="Times New Roman"/>
        </w:rPr>
        <w:t>3.6 W&amp;I-Feedback (Indikation BlueSky Re)</w:t>
      </w:r>
    </w:p>
    <w:p>
      <w:pPr>
        <w:jc w:val="left"/>
      </w:pPr>
      <w:r>
        <w:t>Nicht-bindende Indikation vorhanden. Limit EUR 18 Mio., Prämie ca. EUR 540.000. Ausschlüsse: Delta-Service-Risiko, ITAR, Aero-Nordic-CoC. Binder erwartet bis 15.06.2026.</w:t>
      </w:r>
    </w:p>
    <w:p/>
    <w:p>
      <w:pPr>
        <w:pStyle w:val="Heading2"/>
      </w:pPr>
      <w:r>
        <w:rPr>
          <w:rFonts w:ascii="Times New Roman" w:hAnsi="Times New Roman"/>
        </w:rPr>
        <w:t>4. Renditeberechnung (Modell-Summary)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IRR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MOIC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Exit-Annahme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Base Case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2,8x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EV/EBITDA 9,0x nach 5 Jahren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Upside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3,5x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Synergien + Roll-up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Downside (Delta-Schieflage)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1,9x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Sanierungskosten EUR 5 Mio.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Risikozusammenfassung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Impact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Mitigation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Delta Service Insolvenz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StaRUG/Escrow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BMWK FDI-Hauptprüfung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Long-Stop 31.12.2026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Aero Nordic CoC-Kündigung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Persönlicher Kontakt CEO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Makrorisiko (Zinsen)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Fixed-Rate-Finanzierung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Beschlussanträge</w:t>
      </w:r>
    </w:p>
    <w:p>
      <w:pPr>
        <w:jc w:val="left"/>
      </w:pPr>
      <w:r>
        <w:t>Das Investmentkomitee wird gebeten, folgende Beschlüsse zu fassen:</w:t>
      </w:r>
    </w:p>
    <w:p>
      <w:pPr>
        <w:ind w:left="567"/>
      </w:pPr>
      <w:r>
        <w:rPr>
          <w:b/>
          <w:i/>
        </w:rPr>
        <w:t>Beschluss 1:</w:t>
      </w:r>
      <w:r>
        <w:rPr>
          <w:i/>
        </w:rPr>
        <w:t xml:space="preserve"> Das Komitee genehmigt die Abgabe eines Binding Offer auf den Erwerb von 100 % der Aktien der Solaris Industries AG zum Enterprise Value von EUR 180 Millionen, vorbehaltlich der üblichen Kaufpreisanpassungen.</w:t>
      </w:r>
    </w:p>
    <w:p>
      <w:pPr>
        <w:ind w:left="567"/>
      </w:pPr>
      <w:r>
        <w:rPr>
          <w:b/>
          <w:i/>
        </w:rPr>
        <w:t>Beschluss 2:</w:t>
      </w:r>
      <w:r>
        <w:rPr>
          <w:i/>
        </w:rPr>
        <w:t xml:space="preserve"> Das Komitee genehmigt das SPA-Verhandlungsmandat für das Deal Team gemäß den im Board Paper dargelegten Vertragsparametern.</w:t>
      </w:r>
    </w:p>
    <w:p>
      <w:pPr>
        <w:ind w:left="567"/>
      </w:pPr>
      <w:r>
        <w:rPr>
          <w:b/>
          <w:i/>
        </w:rPr>
        <w:t>Beschluss 3:</w:t>
      </w:r>
      <w:r>
        <w:rPr>
          <w:i/>
        </w:rPr>
        <w:t xml:space="preserve"> Das Komitee genehmigt den Abschluss einer W&amp;I-Buy-side-Policy bis zu einem Limit von EUR 18 Millionen und einer Prämie von bis zu EUR 600.000.</w:t>
      </w:r>
    </w:p>
    <w:p>
      <w:pPr>
        <w:ind w:left="567"/>
      </w:pPr>
      <w:r>
        <w:rPr>
          <w:b/>
          <w:i/>
        </w:rPr>
        <w:t>Beschluss 4:</w:t>
      </w:r>
      <w:r>
        <w:rPr>
          <w:i/>
        </w:rPr>
        <w:t xml:space="preserve"> Das Komitee genehmigt ein PMI-Initialbudget von EUR 1,2 Millionen für die ersten 100 Tage nach Closing.</w:t>
      </w:r>
    </w:p>
    <w:p/>
    <w:p>
      <w:pPr>
        <w:pStyle w:val="Heading2"/>
      </w:pPr>
      <w:r>
        <w:rPr>
          <w:rFonts w:ascii="Times New Roman" w:hAnsi="Times New Roman"/>
        </w:rPr>
        <w:t>7. Abstimmungsergebnis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Komiteemitglied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Stimme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Vogel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Frau Hartmann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Herr Baumann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Vorbehalt: Delta-Risiko monitoren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Herr Müller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Enthalten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Interessenkonflikt erklärend</w:t>
            </w:r>
          </w:p>
        </w:tc>
      </w:tr>
    </w:tbl>
    <w:p>
      <w:pPr>
        <w:jc w:val="left"/>
      </w:pPr>
      <w:r>
        <w:rPr>
          <w:b/>
        </w:rPr>
        <w:t>Beschlüsse 1–4: angenommen.</w:t>
      </w:r>
    </w:p>
    <w:p/>
    <w:p>
      <w:pPr>
        <w:jc w:val="left"/>
      </w:pPr>
      <w:r>
        <w:rPr>
          <w:i/>
        </w:rPr>
        <w:t>Board Paper Nr.: BP-2026-SF-003 | Eagle Capital Partners — Streng vertraulich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