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Deal-Ordnerstruktur — Projekt Silberfalke</w:t>
      </w:r>
    </w:p>
    <w:p>
      <w:pPr>
        <w:jc w:val="left"/>
      </w:pPr>
      <w:r>
        <w:rPr>
          <w:b/>
        </w:rPr>
        <w:t>Aktenzeichen:</w:t>
      </w:r>
      <w:r>
        <w:t xml:space="preserve"> MA-2026-SF-001</w:t>
      </w:r>
    </w:p>
    <w:p>
      <w:pPr>
        <w:jc w:val="left"/>
      </w:pPr>
      <w:r>
        <w:rPr>
          <w:b/>
        </w:rPr>
        <w:t>Erstellt:</w:t>
      </w:r>
      <w:r>
        <w:t xml:space="preserve"> 01.04.2026</w:t>
      </w:r>
    </w:p>
    <w:p>
      <w:pPr>
        <w:jc w:val="left"/>
      </w:pPr>
      <w:r>
        <w:rPr>
          <w:b/>
        </w:rPr>
        <w:t>Zweck:</w:t>
      </w:r>
      <w:r>
        <w:t xml:space="preserve"> Verbindliche Ordnerstruktur für alle Mitarbeiter im Deal Team; Clean-Room-Regeln</w:t>
      </w:r>
    </w:p>
    <w:p/>
    <w:p>
      <w:pPr>
        <w:pStyle w:val="Heading2"/>
      </w:pPr>
      <w:r>
        <w:rPr>
          <w:rFonts w:ascii="Times New Roman" w:hAnsi="Times New Roman"/>
        </w:rPr>
        <w:t>1. Verzeichnisbaum</w:t>
      </w:r>
    </w:p>
    <w:p>
      <w:pPr>
        <w:jc w:val="left"/>
      </w:pPr>
      <w:r>
        <w:t>```</w:t>
      </w:r>
    </w:p>
    <w:p>
      <w:pPr>
        <w:jc w:val="left"/>
      </w:pPr>
      <w:r>
        <w:t>MA-2026-SF-001_Silberfalke/</w:t>
      </w:r>
    </w:p>
    <w:p>
      <w:pPr>
        <w:jc w:val="left"/>
      </w:pPr>
      <w:r>
        <w:t>│</w:t>
      </w:r>
    </w:p>
    <w:p>
      <w:pPr>
        <w:jc w:val="left"/>
      </w:pPr>
      <w:r>
        <w:t>├── 00_Admin/</w:t>
      </w:r>
    </w:p>
    <w:p>
      <w:pPr>
        <w:jc w:val="left"/>
      </w:pPr>
      <w:r>
        <w:t>│   ├── mandatsvertrag.pdf</w:t>
      </w:r>
    </w:p>
    <w:p>
      <w:pPr>
        <w:jc w:val="left"/>
      </w:pPr>
      <w:r>
        <w:t>│   ├── conflict_check.pdf</w:t>
      </w:r>
    </w:p>
    <w:p>
      <w:pPr>
        <w:jc w:val="left"/>
      </w:pPr>
      <w:r>
        <w:t>│   └── team_roster.md</w:t>
      </w:r>
    </w:p>
    <w:p>
      <w:pPr>
        <w:jc w:val="left"/>
      </w:pPr>
      <w:r>
        <w:t>│</w:t>
      </w:r>
    </w:p>
    <w:p>
      <w:pPr>
        <w:jc w:val="left"/>
      </w:pPr>
      <w:r>
        <w:t>├── 01_Intake/</w:t>
      </w:r>
    </w:p>
    <w:p>
      <w:pPr>
        <w:jc w:val="left"/>
      </w:pPr>
      <w:r>
        <w:t>│   ├── email_mandant.txt</w:t>
      </w:r>
    </w:p>
    <w:p>
      <w:pPr>
        <w:jc w:val="left"/>
      </w:pPr>
      <w:r>
        <w:t>│   ├── conflict_sanctions_rohdaten.md</w:t>
      </w:r>
    </w:p>
    <w:p>
      <w:pPr>
        <w:jc w:val="left"/>
      </w:pPr>
      <w:r>
        <w:t>│   └── erstgespraech_protokoll.md</w:t>
      </w:r>
    </w:p>
    <w:p>
      <w:pPr>
        <w:jc w:val="left"/>
      </w:pPr>
      <w:r>
        <w:t>│</w:t>
      </w:r>
    </w:p>
    <w:p>
      <w:pPr>
        <w:jc w:val="left"/>
      </w:pPr>
      <w:r>
        <w:t>├── 02_Datenraum/</w:t>
      </w:r>
    </w:p>
    <w:p>
      <w:pPr>
        <w:jc w:val="left"/>
      </w:pPr>
      <w:r>
        <w:t>│   ├── vdr_index.csv</w:t>
      </w:r>
    </w:p>
    <w:p>
      <w:pPr>
        <w:jc w:val="left"/>
      </w:pPr>
      <w:r>
        <w:t>│   ├── gap_analysis.md</w:t>
      </w:r>
    </w:p>
    <w:p>
      <w:pPr>
        <w:jc w:val="left"/>
      </w:pPr>
      <w:r>
        <w:t>│   ├── clean_room/</w:t>
      </w:r>
    </w:p>
    <w:p>
      <w:pPr>
        <w:jc w:val="left"/>
      </w:pPr>
      <w:r>
        <w:t>│   │   ├── clean_room_log.md          ← CLEAN ROOM: Zugriff eingeschränkt</w:t>
      </w:r>
    </w:p>
    <w:p>
      <w:pPr>
        <w:jc w:val="left"/>
      </w:pPr>
      <w:r>
        <w:t>│   │   └── ITAR_documents/            ← CLEAN ROOM: Nur Specialist Counsel</w:t>
      </w:r>
    </w:p>
    <w:p>
      <w:pPr>
        <w:jc w:val="left"/>
      </w:pPr>
      <w:r>
        <w:t>│   └── downloads/</w:t>
      </w:r>
    </w:p>
    <w:p>
      <w:pPr>
        <w:jc w:val="left"/>
      </w:pPr>
      <w:r>
        <w:t>│</w:t>
      </w:r>
    </w:p>
    <w:p>
      <w:pPr>
        <w:jc w:val="left"/>
      </w:pPr>
      <w:r>
        <w:t>├── 03_DD/</w:t>
      </w:r>
    </w:p>
    <w:p>
      <w:pPr>
        <w:jc w:val="left"/>
      </w:pPr>
      <w:r>
        <w:t>│   ├── legal/</w:t>
      </w:r>
    </w:p>
    <w:p>
      <w:pPr>
        <w:jc w:val="left"/>
      </w:pPr>
      <w:r>
        <w:t>│   │   ├── dd_scope.md</w:t>
      </w:r>
    </w:p>
    <w:p>
      <w:pPr>
        <w:jc w:val="left"/>
      </w:pPr>
      <w:r>
        <w:t>│   │   ├── red_flag_report.md</w:t>
      </w:r>
    </w:p>
    <w:p>
      <w:pPr>
        <w:jc w:val="left"/>
      </w:pPr>
      <w:r>
        <w:t>│   │   └── commercial_contracts/</w:t>
      </w:r>
    </w:p>
    <w:p>
      <w:pPr>
        <w:jc w:val="left"/>
      </w:pPr>
      <w:r>
        <w:t>│   ├── financial/</w:t>
      </w:r>
    </w:p>
    <w:p>
      <w:pPr>
        <w:jc w:val="left"/>
      </w:pPr>
      <w:r>
        <w:t>│   ├── tax/</w:t>
      </w:r>
    </w:p>
    <w:p>
      <w:pPr>
        <w:jc w:val="left"/>
      </w:pPr>
      <w:r>
        <w:t>│   └── environmental/</w:t>
      </w:r>
    </w:p>
    <w:p>
      <w:pPr>
        <w:jc w:val="left"/>
      </w:pPr>
      <w:r>
        <w:t>│</w:t>
      </w:r>
    </w:p>
    <w:p>
      <w:pPr>
        <w:jc w:val="left"/>
      </w:pPr>
      <w:r>
        <w:t>├── 04_QA/</w:t>
      </w:r>
    </w:p>
    <w:p>
      <w:pPr>
        <w:jc w:val="left"/>
      </w:pPr>
      <w:r>
        <w:t>│   ├── qa_register.csv</w:t>
      </w:r>
    </w:p>
    <w:p>
      <w:pPr>
        <w:jc w:val="left"/>
      </w:pPr>
      <w:r>
        <w:t>│   └── expert_call_notes/</w:t>
      </w:r>
    </w:p>
    <w:p>
      <w:pPr>
        <w:jc w:val="left"/>
      </w:pPr>
      <w:r>
        <w:t>│</w:t>
      </w:r>
    </w:p>
    <w:p>
      <w:pPr>
        <w:jc w:val="left"/>
      </w:pPr>
      <w:r>
        <w:t>├── 05_Structure/</w:t>
      </w:r>
    </w:p>
    <w:p>
      <w:pPr>
        <w:jc w:val="left"/>
      </w:pPr>
      <w:r>
        <w:t>│   ├── structure_options.md</w:t>
      </w:r>
    </w:p>
    <w:p>
      <w:pPr>
        <w:jc w:val="left"/>
      </w:pPr>
      <w:r>
        <w:t>│   ├── kg_check.md</w:t>
      </w:r>
    </w:p>
    <w:p>
      <w:pPr>
        <w:jc w:val="left"/>
      </w:pPr>
      <w:r>
        <w:t>│   └── umwandlungssteuer_matrix.md</w:t>
      </w:r>
    </w:p>
    <w:p>
      <w:pPr>
        <w:jc w:val="left"/>
      </w:pPr>
      <w:r>
        <w:t>│</w:t>
      </w:r>
    </w:p>
    <w:p>
      <w:pPr>
        <w:jc w:val="left"/>
      </w:pPr>
      <w:r>
        <w:t>├── 06_Documents/</w:t>
      </w:r>
    </w:p>
    <w:p>
      <w:pPr>
        <w:jc w:val="left"/>
      </w:pPr>
      <w:r>
        <w:t>│   ├── nda_markup.docx</w:t>
      </w:r>
    </w:p>
    <w:p>
      <w:pPr>
        <w:jc w:val="left"/>
      </w:pPr>
      <w:r>
        <w:t>│   ├── spa_markup.docx</w:t>
      </w:r>
    </w:p>
    <w:p>
      <w:pPr>
        <w:jc w:val="left"/>
      </w:pPr>
      <w:r>
        <w:t>│   ├── disclosure_letter.docx</w:t>
      </w:r>
    </w:p>
    <w:p>
      <w:pPr>
        <w:jc w:val="left"/>
      </w:pPr>
      <w:r>
        <w:t>│   └── disclosure_schedules/</w:t>
      </w:r>
    </w:p>
    <w:p>
      <w:pPr>
        <w:jc w:val="left"/>
      </w:pPr>
      <w:r>
        <w:t>│</w:t>
      </w:r>
    </w:p>
    <w:p>
      <w:pPr>
        <w:jc w:val="left"/>
      </w:pPr>
      <w:r>
        <w:t>├── 07_Signing_Closing/</w:t>
      </w:r>
    </w:p>
    <w:p>
      <w:pPr>
        <w:jc w:val="left"/>
      </w:pPr>
      <w:r>
        <w:t>│   ├── signing_closing_memo.md</w:t>
      </w:r>
    </w:p>
    <w:p>
      <w:pPr>
        <w:jc w:val="left"/>
      </w:pPr>
      <w:r>
        <w:t>│   ├── cp_register.csv</w:t>
      </w:r>
    </w:p>
    <w:p>
      <w:pPr>
        <w:jc w:val="left"/>
      </w:pPr>
      <w:r>
        <w:t>│   ├── ordinary_course_monitor.md</w:t>
      </w:r>
    </w:p>
    <w:p>
      <w:pPr>
        <w:jc w:val="left"/>
      </w:pPr>
      <w:r>
        <w:t>│   └── closing_bible/              ← Wird nach Closing befüllt</w:t>
      </w:r>
    </w:p>
    <w:p>
      <w:pPr>
        <w:jc w:val="left"/>
      </w:pPr>
      <w:r>
        <w:t>│</w:t>
      </w:r>
    </w:p>
    <w:p>
      <w:pPr>
        <w:jc w:val="left"/>
      </w:pPr>
      <w:r>
        <w:t>├── 08_Regulatory/</w:t>
      </w:r>
    </w:p>
    <w:p>
      <w:pPr>
        <w:jc w:val="left"/>
      </w:pPr>
      <w:r>
        <w:t>│   ├── regulatory_map.md</w:t>
      </w:r>
    </w:p>
    <w:p>
      <w:pPr>
        <w:jc w:val="left"/>
      </w:pPr>
      <w:r>
        <w:t>│   ├── bkarta_anmeldung/</w:t>
      </w:r>
    </w:p>
    <w:p>
      <w:pPr>
        <w:jc w:val="left"/>
      </w:pPr>
      <w:r>
        <w:t>│   ├── bmwk_fdi/</w:t>
      </w:r>
    </w:p>
    <w:p>
      <w:pPr>
        <w:jc w:val="left"/>
      </w:pPr>
      <w:r>
        <w:t>│   └── exportkontrolle/</w:t>
      </w:r>
    </w:p>
    <w:p>
      <w:pPr>
        <w:jc w:val="left"/>
      </w:pPr>
      <w:r>
        <w:t>│       └── clean_room/             ← CLEAN ROOM: Nur Specialist Counsel</w:t>
      </w:r>
    </w:p>
    <w:p>
      <w:pPr>
        <w:jc w:val="left"/>
      </w:pPr>
      <w:r>
        <w:t>│</w:t>
      </w:r>
    </w:p>
    <w:p>
      <w:pPr>
        <w:jc w:val="left"/>
      </w:pPr>
      <w:r>
        <w:t>├── 09_PMI/</w:t>
      </w:r>
    </w:p>
    <w:p>
      <w:pPr>
        <w:jc w:val="left"/>
      </w:pPr>
      <w:r>
        <w:t>│   ├── pmi_100_day_plan.md</w:t>
      </w:r>
    </w:p>
    <w:p>
      <w:pPr>
        <w:jc w:val="left"/>
      </w:pPr>
      <w:r>
        <w:t>│   └── synergy_tracker.csv</w:t>
      </w:r>
    </w:p>
    <w:p>
      <w:pPr>
        <w:jc w:val="left"/>
      </w:pPr>
      <w:r>
        <w:t>│</w:t>
      </w:r>
    </w:p>
    <w:p>
      <w:pPr>
        <w:jc w:val="left"/>
      </w:pPr>
      <w:r>
        <w:t>└── 90_Archive/</w:t>
      </w:r>
    </w:p>
    <w:p>
      <w:pPr>
        <w:jc w:val="left"/>
      </w:pPr>
      <w:r>
        <w:t>├── process_letter_historisch.pdf</w:t>
      </w:r>
    </w:p>
    <w:p>
      <w:pPr>
        <w:jc w:val="left"/>
      </w:pPr>
      <w:r>
        <w:t>└── nda_historisch.pdf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2. Clean-Room-Regeln</w:t>
      </w:r>
    </w:p>
    <w:p>
      <w:pPr>
        <w:ind w:left="567"/>
      </w:pPr>
      <w:r>
        <w:rPr>
          <w:b/>
          <w:i/>
        </w:rPr>
        <w:t>Achtung:</w:t>
      </w:r>
      <w:r>
        <w:rPr>
          <w:i/>
        </w:rPr>
        <w:t xml:space="preserve"> Dokumente in </w:t>
      </w:r>
      <w:r>
        <w:rPr>
          <w:i/>
        </w:rPr>
        <w:t>clean_room/</w:t>
      </w:r>
      <w:r>
        <w:rPr>
          <w:i/>
        </w:rPr>
        <w:t>-Unterordnern dürfen ausschließlich durch ausdrücklich autorisierte Personen eingesehen werden. Eine Weitergabe an Dritte — insbesondere an Mitbewerber oder Personen mit US-Nexus ohne ITAR-Clearance — ist verboten.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Clean-Room-Bereich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Autorisierte Personen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02_Datenraum/clean_room/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Specialist Counsel, Partner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Clean-Room-Protokoll v. 10.04.2026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08_Regulatory/exportkontrolle/clean_room/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Specialist Counsel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ITAR-Sonderprotokoll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06_Documents/disclosure_schedules/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Counsel B, Partner A, Eagle GC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Datenraumzugangsvereinbarung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Versionierungsprinzipien</w:t>
      </w:r>
    </w:p>
    <w:p>
      <w:pPr>
        <w:pStyle w:val="ListBullet"/>
      </w:pPr>
      <w:r>
        <w:t xml:space="preserve">Alle Vertragsmarkups werden mit </w:t>
      </w:r>
      <w:r>
        <w:t>_v[n]_[YYYYMMDD]</w:t>
      </w:r>
      <w:r>
        <w:t xml:space="preserve"> suffixiert</w:t>
      </w:r>
    </w:p>
    <w:p>
      <w:pPr>
        <w:pStyle w:val="ListBullet"/>
      </w:pPr>
      <w:r>
        <w:t xml:space="preserve">Finale Versionen erhalten den Suffix </w:t>
      </w:r>
      <w:r>
        <w:t>_FINAL</w:t>
      </w:r>
    </w:p>
    <w:p>
      <w:pPr>
        <w:pStyle w:val="ListBullet"/>
      </w:pPr>
      <w:r>
        <w:t xml:space="preserve">Unterschriebene Dokumente erhalten den Suffix </w:t>
      </w:r>
      <w:r>
        <w:t>_SIGNED</w:t>
      </w:r>
    </w:p>
    <w:p>
      <w:pPr>
        <w:pStyle w:val="ListBullet"/>
      </w:pPr>
      <w:r>
        <w:t xml:space="preserve">Archivierte Vorfassungen werden in </w:t>
      </w:r>
      <w:r>
        <w:t>90_Archive/</w:t>
      </w:r>
      <w:r>
        <w:t xml:space="preserve"> verschoben, nicht gelöscht</w:t>
      </w:r>
    </w:p>
    <w:p/>
    <w:p>
      <w:pPr>
        <w:pStyle w:val="Heading2"/>
      </w:pPr>
      <w:r>
        <w:rPr>
          <w:rFonts w:ascii="Times New Roman" w:hAnsi="Times New Roman"/>
        </w:rPr>
        <w:t>4. Zugriffskontrolle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Ebene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Ordnerzugang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Vollzugriff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 A, Counsel 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Ordner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DD-Zugang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Associate B, Associate 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02–05, 08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PMI-Zugang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 PMI-Lead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Lesen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 Eagle (Deal-Room)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06, 07 (ausgewählt)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Clean Room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Specialist Counsel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02/clean_room, 08/clean_room</w:t>
            </w:r>
          </w:p>
        </w:tc>
      </w:tr>
    </w:tbl>
    <w:p/>
    <w:p>
      <w:pPr>
        <w:jc w:val="left"/>
      </w:pPr>
      <w:r>
        <w:rPr>
          <w:i/>
        </w:rPr>
        <w:t>Stand: 01.04.2026 — Verbindlich für alle Teammitglieder | Kanzlei-intern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