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Liquiditätsvorschau — Delta Service GmbH (3-Wochen-Detailplanung)</w:t>
      </w:r>
    </w:p>
    <w:p>
      <w:pPr>
        <w:jc w:val="left"/>
      </w:pPr>
      <w:r>
        <w:rPr>
          <w:b/>
        </w:rPr>
        <w:t>Erstellt:</w:t>
      </w:r>
      <w:r>
        <w:t xml:space="preserve"> 15.05.2026</w:t>
      </w:r>
    </w:p>
    <w:p>
      <w:pPr>
        <w:jc w:val="left"/>
      </w:pPr>
      <w:r>
        <w:rPr>
          <w:b/>
        </w:rPr>
        <w:t>Stichtag:</w:t>
      </w:r>
      <w:r>
        <w:t xml:space="preserve"> 15.05.2026</w:t>
      </w:r>
    </w:p>
    <w:p>
      <w:pPr>
        <w:jc w:val="left"/>
      </w:pPr>
      <w:r>
        <w:rPr>
          <w:b/>
        </w:rPr>
        <w:t>Gesellschaft:</w:t>
      </w:r>
      <w:r>
        <w:t xml:space="preserve"> Delta Service GmbH, Essen (Tochter der Solaris Industries AG)</w:t>
      </w:r>
    </w:p>
    <w:p>
      <w:pPr>
        <w:jc w:val="left"/>
      </w:pPr>
      <w:r>
        <w:rPr>
          <w:b/>
        </w:rPr>
        <w:t>Verfasser:</w:t>
      </w:r>
      <w:r>
        <w:t xml:space="preserve"> Counsel D / Restrukturierung, auf Basis CFO-Daten</w:t>
      </w:r>
    </w:p>
    <w:p>
      <w:pPr>
        <w:jc w:val="left"/>
      </w:pPr>
      <w:r>
        <w:rPr>
          <w:b/>
        </w:rPr>
        <w:t>Status:</w:t>
      </w:r>
      <w:r>
        <w:t xml:space="preserve"> Interne Analyse — Vertraulich</w:t>
      </w:r>
    </w:p>
    <w:p>
      <w:pPr>
        <w:ind w:left="567"/>
      </w:pPr>
      <w:r>
        <w:rPr>
          <w:b/>
          <w:i/>
        </w:rPr>
        <w:t>Warnung:</w:t>
      </w:r>
      <w:r>
        <w:rPr>
          <w:i/>
        </w:rPr>
        <w:t xml:space="preserve"> Management behauptet, die Liquidität reiche "locker bis Closing". Die nachfolgende Analyse kommt zu einem abweichenden Ergebnis.</w:t>
      </w:r>
    </w:p>
    <w:p/>
    <w:p>
      <w:pPr>
        <w:pStyle w:val="Heading2"/>
      </w:pPr>
      <w:r>
        <w:rPr>
          <w:rFonts w:ascii="Times New Roman" w:hAnsi="Times New Roman"/>
        </w:rPr>
        <w:t>1. Ausgangsdaten (Stichtag 15.05.2026)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Quelle / Anmerkung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Bankguthaben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840.000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Kontoauszug v. 15.05.2026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Kreditlinie verfügbar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 xml:space="preserve">Nominal — </w:t>
            </w:r>
            <w:r>
              <w:rPr>
                <w:rFonts w:ascii="Times New Roman" w:hAnsi="Times New Roman"/>
                <w:b/>
                <w:sz w:val="20"/>
              </w:rPr>
              <w:t>Covenant-Waiver offen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Effektiv verfügbar (konservativ)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840.000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Kreditlinie nicht angerechnet bis Waiver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Überfällige Lieferantenverbindlichkeiten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410.000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Buchhaltung, &gt; 30 Tage fällig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Bestrittene Forderung Großkunde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als Eingang gewertet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3-Wochen-Cashflow-Planung (KW 21–23, 2026)</w:t>
      </w:r>
    </w:p>
    <w:p>
      <w:pPr>
        <w:pStyle w:val="Heading3"/>
      </w:pPr>
      <w:r>
        <w:rPr>
          <w:rFonts w:ascii="Times New Roman" w:hAnsi="Times New Roman"/>
        </w:rPr>
        <w:t>KW 21 (19.–23.05.2026)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Einzahlung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Auszahlung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Kommentar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Anfangsbestand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EUR 840.000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Kundeneingang A (zugesagt)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Zugesagt, 50 % Wahrscheinlichkeit bis Wochende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Lieferantenverbindlichkeit (überfällig Teilzahlung)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Eilmahnung erhalten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Miete / Leasing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Fällig 20.05.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Deal-Kosten (Kanzlei / Berater Teilrechnung)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35.000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Vorauszahlung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Sonstiges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Endbestand KW 21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EUR 678.000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KW 22 (26.–30.05.2026)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Einzahlung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Auszahlung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Kommentar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Anfangsbestand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EUR 678.000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Kundeneingang B (Haupteingang)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Zugesagt 24.05.2026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Payroll Mai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290.000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Fällig 31.05.2026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Sozialversicherung Mai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58.000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Fällig 29.05.2026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Lieferantenverbindlichkeit (weiterer Teil)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130.000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Zahlungsplan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Deal-Kosten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55.000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Regulatory-Beratung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Sonstiges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Endbestand KW 22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EUR 365.000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KW 23 (02.–06.06.2026)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Einzahlung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Auszahlung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Kommentar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Anfangsbestand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EUR 365.000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Kundeneingang (bestritten — nicht gerechnet)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EUR 180.000 bestritten, nicht eingerechnet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USt April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96.000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Fällig 10.06.2026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Debt Service (Zinsen + Tilgung)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45.000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Quartalsrate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Lieferantenverbindlichkeit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160.000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Letzte Teilzahlung nach Mahnplan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Miete / Leasing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Monatlich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Deal-Kosten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45.000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Signing-Kosten Restrate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Sonstiges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Endbestand KW 23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EUR -48.000</w:t>
            </w:r>
            <w:r>
              <w:rPr>
                <w:rFonts w:ascii="Times New Roman" w:hAnsi="Times New Roman"/>
                <w:sz w:val="20"/>
              </w:rPr>
              <w:t xml:space="preserve"> (kritisch!)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Kritische Analyse</w:t>
      </w:r>
    </w:p>
    <w:p>
      <w:pPr>
        <w:pStyle w:val="Heading3"/>
      </w:pPr>
      <w:r>
        <w:rPr>
          <w:rFonts w:ascii="Times New Roman" w:hAnsi="Times New Roman"/>
        </w:rPr>
        <w:t>3.1 Management-Behauptung vs. Rechenergebnis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Aussage Management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Rechnungsergebnis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"Liquidität reicht locker bis Closing"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KW 23 (02.06.2026) bereits negativ: EUR -48.000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Kreditlinie als Puffer eingerechnet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Covenant-Waiver fehlt — Kreditlinie nicht ziehbar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Bestrittene Forderung als sicher eingeplant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Nicht wertbar, da Gegenpartei Widerspruch erhoben</w:t>
            </w:r>
          </w:p>
        </w:tc>
      </w:tr>
    </w:tbl>
    <w:p>
      <w:pPr>
        <w:jc w:val="left"/>
      </w:pPr>
      <w:r>
        <w:rPr>
          <w:b/>
        </w:rPr>
        <w:t>Fazit:</w:t>
      </w:r>
      <w:r>
        <w:t xml:space="preserve"> Der Management-Optimismus ist nicht durch belastbare Zahlen gestützt. Die Kreditlinie darf erst nach Erteilung des Covenant-Waivers durch die DKB AG eingerechnet werden.</w:t>
      </w:r>
    </w:p>
    <w:p>
      <w:pPr>
        <w:pStyle w:val="Heading3"/>
      </w:pPr>
      <w:r>
        <w:rPr>
          <w:rFonts w:ascii="Times New Roman" w:hAnsi="Times New Roman"/>
        </w:rPr>
        <w:t>3.2 Risikopositionen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Auswirkung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Covenant-Waiver wird verweigert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Kreditlinie entfällt → Engpass tritt 1 Woche früher ein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Lieferanteneinigung scheitert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Weitere EUR 230.000 werden sofort fällig (Rückstand)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Kundeneingang A verzögert sich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Minus EUR 120.000 in KW 21 → Engpass früher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Deal-Kosten steigen (Signing-Überschreitung)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 EUR 50.000 extra: Engpass um ca. 3 Tage früher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Handlungsempfehlungen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Covenant Certificate unverzüglich einreichen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CFO Delta Service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Bankgespräch DKB AG zu Waiver-Erteilung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CFO + Kanzlei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Lieferantenstundungsvereinbarung (Top-3-Lieferanten)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COO Solaris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Forderungseinzug Großkunde eskalieren (Mahnstufe 3)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Rechtsabteilung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Factoring-Prüfung für offene Forderungen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CFO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Fortbestehensprognose formal beschließen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Geschäftsführung + WP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Gesellschafterdarlehen Rangrücktritt finalisieren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 (CP-13)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Zusammenfassung</w:t>
      </w:r>
    </w:p>
    <w:p>
      <w:pPr>
        <w:jc w:val="left"/>
      </w:pPr>
      <w:r>
        <w:t xml:space="preserve">Die konservative 3-Wochen-Vorschau zeigt, dass Delta Service GmbH </w:t>
      </w:r>
      <w:r>
        <w:rPr>
          <w:b/>
        </w:rPr>
        <w:t>spätestens in KW 23 (ca. 02.06.2026)</w:t>
      </w:r>
      <w:r>
        <w:t xml:space="preserve"> zahlungsunfähig wird, sofern keine Gegenmaßnahmen ergriffen werden. Die Transaktion Projekt Silberfalke ist davon direkt betroffen (MAC-Risiko, CP-13). Sofortiger Handlungsbedarf.</w:t>
      </w:r>
    </w:p>
    <w:p/>
    <w:p>
      <w:pPr>
        <w:jc w:val="left"/>
      </w:pPr>
      <w:r>
        <w:rPr>
          <w:i/>
        </w:rPr>
        <w:t>Erstellt: 15.05.2026 | Counsel D | Kanzlei — Streng vertraulich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Delta Service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Delta Service GmbH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