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Aufgenommen</w:t>
            </w:r>
          </w:p>
        </w:tc>
        <w:tc>
          <w:tcPr>
            <w:tcW w:type="dxa" w:w="3402"/>
            <w:vAlign w:val="center"/>
          </w:tcPr>
          <w:p>
            <w:r>
              <w:rPr>
                <w:rFonts w:ascii="Arial" w:hAnsi="Arial"/>
                <w:sz w:val="17"/>
              </w:rPr>
              <w:t>30. Mai 2025, 11:35 Uhr</w:t>
            </w:r>
          </w:p>
        </w:tc>
      </w:tr>
      <w:tr>
        <w:tc>
          <w:tcPr>
            <w:tcW w:type="dxa" w:w="1984"/>
            <w:vAlign w:val="center"/>
          </w:tcPr>
          <w:p>
            <w:r>
              <w:rPr>
                <w:rFonts w:ascii="Arial" w:hAnsi="Arial"/>
                <w:b/>
                <w:sz w:val="17"/>
              </w:rPr>
              <w:t>Gespräch</w:t>
            </w:r>
          </w:p>
        </w:tc>
        <w:tc>
          <w:tcPr>
            <w:tcW w:type="dxa" w:w="3402"/>
            <w:vAlign w:val="center"/>
          </w:tcPr>
          <w:p>
            <w:r>
              <w:rPr>
                <w:rFonts w:ascii="Arial" w:hAnsi="Arial"/>
                <w:sz w:val="17"/>
              </w:rPr>
              <w:t>Erstbesprechung mit Dr. Annika Körber</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25/1187-KÖ/re</w:t>
            </w:r>
          </w:p>
        </w:tc>
      </w:tr>
    </w:tbl>
    <w:p/>
    <w:p>
      <w:pPr>
        <w:pStyle w:val="Title"/>
      </w:pPr>
      <w:r>
        <w:t>Aktennotiz zur behaupteten Fortsetzung der Zusatzfunktion</w:t>
      </w:r>
    </w:p>
    <w:p>
      <w:r>
        <w:t>Frau Dr. Körber legte die Ergänzungsvereinbarung vom 15. Februar 2023 und zwei schriftliche Verlängerungen vor. Die letzte schriftliche Urkunde endet am 14. August 2024. Eine weitere unterzeichnete Vereinbarung befindet sich weder in ihren privaten Unterlagen noch im Export ihres dienstlichen E-Mail-Postfachs.</w:t>
      </w:r>
    </w:p>
    <w:p>
      <w:r>
        <w:t>Nach ihrer Erinnerung sprach Personalleiter Holger Branitz sie Anfang September 2024 nach der Prozessrunde im Besprechungsraum E-2 an. Er habe wörtlich oder sinngemäß gesagt, die Vereinbarung laufe weiter, bis der Vorstand die künftige Struktur geklärt habe. Frau Dr. Körber setzte die monatliche Prozessrunde fort und erhielt die Zulage von 1200,00 Euro brutto bis einschließlich April 2025. Die Gehaltsabrechnungen liegen vor.</w:t>
      </w:r>
    </w:p>
    <w:p>
      <w:r>
        <w:t>Im Januar 2025 fragte Frau Dr. Körber nach eigener Angabe bei Miriam Schultes nach einer neuen Urkunde. Frau Schultes habe erwidert, die Sache liege bei Herrn Branitz. Ein schriftlicher Nachweis dieses Gesprächs fehlt. Als mögliche Belege kommen die Abrechnungen, Termineinladungen, Protokolle der Prozessrunde und die Aussage von Frau Schultes in Betracht.</w:t>
      </w:r>
    </w:p>
    <w:p>
      <w:r>
        <w:t>Die Kanzlei trennt die belegten Tatsachen von der rechtlichen Bewertung. Sicher belegt sind die schriftlichen Zeiträume bis 14. August 2024, die weitere Tätigkeit und die Zulagenzahlungen. Zeitpunkt, Inhalt und Bindungswille der behaupteten mündlichen Erklärung bleiben aufzuklären.</w:t>
      </w:r>
    </w:p>
    <w:p/>
    <w:p>
      <w:r>
        <w:rPr>
          <w:rFonts w:ascii="Arial" w:hAnsi="Arial"/>
          <w:b/>
          <w:sz w:val="20"/>
        </w:rPr>
        <w:t>Dr. Jonas Reuß</w:t>
        <w:br/>
      </w:r>
      <w:r>
        <w:rPr>
          <w:rFonts w:ascii="Arial" w:hAnsi="Arial"/>
          <w:sz w:val="20"/>
        </w:rPr>
        <w:t>Rechtsanwalt · Fachanwalt für Arbeitsrecht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03g_aktennotiz_mündliche_fortsetzung_senior_advisor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5B2831"/>
        <w:sz w:val="20"/>
      </w:rPr>
      <w:t>Reuß · Martens · Schlieper Rechtsanwälte PartG mbB</w:t>
    </w:r>
  </w:p>
  <w:p>
    <w:pPr>
      <w:spacing w:after="0"/>
      <w:pBdr>
        <w:bottom w:val="single" w:sz="8" w:space="3" w:color="5B2831"/>
      </w:pBdr>
    </w:pPr>
    <w:r>
      <w:rPr>
        <w:rFonts w:ascii="Arial" w:hAnsi="Arial"/>
        <w:sz w:val="16"/>
      </w:rPr>
      <w:t>Friedrichstraße 92, 10117 Berlin | Telefon 030 308 74-0 | Telefax 030 308 74-199 | kanzlei@reuss-martens.de | Berufshaftpflicht: HanseMerkur Allgemeine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B2831"/>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283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5B2831"/>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Aktennotiz zur behaupteten Fortsetzung der Zusatzfunktion</dc:title>
  <dc:subject/>
  <dc:creator>Reuß · Martens · Schlieper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