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2. Juni 2025</w:t>
            </w:r>
          </w:p>
        </w:tc>
      </w:tr>
      <w:tr>
        <w:tc>
          <w:tcPr>
            <w:tcW w:type="dxa" w:w="1984"/>
            <w:vAlign w:val="center"/>
          </w:tcPr>
          <w:p>
            <w:r>
              <w:rPr>
                <w:rFonts w:ascii="Arial" w:hAnsi="Arial"/>
                <w:b/>
                <w:sz w:val="17"/>
              </w:rPr>
              <w:t>Quelle</w:t>
            </w:r>
          </w:p>
        </w:tc>
        <w:tc>
          <w:tcPr>
            <w:tcW w:type="dxa" w:w="3402"/>
            <w:vAlign w:val="center"/>
          </w:tcPr>
          <w:p>
            <w:r>
              <w:rPr>
                <w:rFonts w:ascii="Arial" w:hAnsi="Arial"/>
                <w:sz w:val="17"/>
              </w:rPr>
              <w:t>Arbeitnehmerausfertigung vom 28. April 2025</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Prüfvermerk zum nicht unterzeichneten Aufhebungsvertragsentwurf</w:t>
      </w:r>
    </w:p>
    <w:p>
      <w:r>
        <w:t>[Anmerkung RA Reuß: Die Formulierung „auf Wunsch der Mitarbeiterin" bei gleichzeitiger „Eigenkündigung" ist eine klassische Sperrzeitfalle. Die Bundesagentur für Arbeit würde diese Konstruktion als Eigenkündigung durch die Arbeitnehmerin werten und nach Paragraf 159 SGB III eine Sperrzeit von bis zu 12 Wochen verhängen. Die Mitarbeiterin hat dem Aufhebungsvertrag NICHT zugestimmt.]</w:t>
      </w:r>
    </w:p>
    <w:p>
      <w:r>
        <w:t>[Anmerkung RA Reuß: Die unwiderrufliche Freistellung mit pauschaler Urlaubsanrechnung ohne genaue Benennung der Urlaubstage und ohne konkrete Anrechnungserklärung ist nach BAG-Rechtsprechung unwirksam; der Urlaub kann nicht einfach durch eine solche Klausel verfallen. Details in Aktenstück 17.]</w:t>
      </w:r>
    </w:p>
    <w:p>
      <w:r>
        <w:t>[Anmerkung RA Reuß: Berechnungsbasis 0,5 Monatsentgelte je Betriebsjahr. Faktisch wird die Tantieme (18.000 EUR p.a. = 1.500 EUR/Monat) aus dem Monatsentgelt herausgerechnet; mit Tantieme wäre das Monatsentgelt 14.426,92 EUR. Außerdem ist die Betriebszugehörigkeit 13 Jahre, nicht 14. Körber trat am 01.03.2012 ein, aktuell Mai 2025 — das sind 13 Jahre und 2 Monate, also aufzurunden auf 14 Jahre. Rechenfehler zugunsten des Arbeitgebers.]</w:t>
      </w:r>
    </w:p>
    <w:p>
      <w:r>
        <w:t>[Anmerkung RA Reuß: Keine Regelung zur Nennung des HinSchG-Hinweises oder der Befristungsvereinbarungen. Keine Klausel, die zukünftige nachteilige Äußerungen über Körber untersagt (non-disparagement).]</w:t>
      </w:r>
    </w:p>
    <w:p>
      <w:r>
        <w:t>[Anmerkung RA Reuß: Generalklausel ohne Ausnahme für HinSchG-Schadensersatzansprüche nach Paragraf 37 HinSchG, Equal-Pay-Nachzahlungen nach Paragraf 10 EntgTranspG sowie den Anspruch auf Weiterbeschäftigung bzw. Statusfeststellung im Senior-Advisor-Verhältnis. Diese Ansprüche wären mit einer solchen Klausel nach Vertragsschluss nicht mehr geltend zu machen. Das ist für Körber existenziell nachteilig.]</w:t>
      </w:r>
    </w:p>
    <w:p>
      <w:r>
        <w:t>[Anmerkung RA Reuß: Diese Klausel in Kombination mit der Erledigungsklausel könnte dazu dienen, Körber dauerhaft an der Geltendmachung des HinSchG-Hinweises zu hindern. Paragraf 5 Abs. 3 Nr. 2 HinSchG schützt jedoch Hinweisgeber davor, durch vertragliche Vereinbarungen an der Weitergabe von Informationen gehindert zu werden. Eine auf Paragraf 36 HinSchG gestützte Klage wäre trotz einer solchen Klausel zulässig; die Klausel wäre insoweit nichtig (Paragraf 4 Abs. 2 HinSchG).]</w:t>
      </w:r>
    </w:p>
    <w:p>
      <w:r>
        <w:t>[Anmerkung RA Reuß: Ein präventiver Klageverzicht ist nach Paragraf 4 Satz 4 KSchG (analoge Anwendung) und nach Paragraf 310 Abs. 3 i.V.m. Paragraf 307 BGB grundsätzlich unwirksam, soweit er AGB-Charakter hat. Selbst bei individueller Aushandlung: Verzicht auf Klage wegen Paragraf 37 HinSchG-Ansprüchen dürfte nach Paragraf 4 Abs. 2 HinSchG nichtig sein.]</w:t>
      </w:r>
    </w:p>
    <w:p>
      <w:r>
        <w:t>Kanzleianalyse zum Aufhebungsvertragsentwurf (RA Reuß, 02.06.2025)</w:t>
      </w:r>
    </w:p>
    <w:p>
      <w:r>
        <w:t>Der Entwurf enthält mindestens fünf strukturelle Fallen:</w:t>
      </w:r>
    </w:p>
    <w:p>
      <w:r>
        <w:t>Sperrzeit-Konstruktion (Paragraf 1 Abs. 1): Eigenkündigungs-Fiktion bei gleichzeitigem „Wunsch der Mitarbeiterin" ist typische Sperrzeitgestaltung. Körber hat richtig gehandelt, abzulehnen.</w:t>
      </w:r>
    </w:p>
    <w:p>
      <w:r>
        <w:t>Urlaubs-Pauschalanrechnung (Paragraf 1 Abs. 2): Unwirksam nach BAG-Rechtsprechung; Resturlaub bleibt offen.</w:t>
      </w:r>
    </w:p>
    <w:p>
      <w:r>
        <w:t>Abfindungsberechnung (Paragraf 2): Falsche Berechnungsgrundlage (Tantieme herausgerechnet, Betriebszugehörigkeit falsch). Richtige Abfindung nach Paragraf 1a KSchG wäre: 14 Jahre × 0,5 × 14.427 EUR = ca. 101.000 EUR. Mit Tantieme also tatsächlich etwas günstiger, aber die Pauschalierung ist irreführend.</w:t>
      </w:r>
    </w:p>
    <w:p>
      <w:r>
        <w:t>Generalklausel (Paragraf 4): HinSchG, EntgTranspG und Befristungsansprüche wären abgegolten.</w:t>
      </w:r>
    </w:p>
    <w:p>
      <w:r>
        <w:t>Geheimhaltung / Klageverzicht (Paragrafen 5, 6): Soweit HinSchG-Ansprüche betroffen, nach Paragraf 4 Abs. 2 HinSchG nichtig; im Übrigen AGB-rechtlich fragwürdig.</w:t>
      </w:r>
    </w:p>
    <w:p>
      <w:r>
        <w:t>Empfehlung: Keine Unterzeichnung. Körber hat zutreffend entschieden. Mandatsführung über Kündigungsschutzklage.</w:t>
      </w:r>
    </w:p>
    <w:p>
      <w:r>
        <w:t>Der Prüfvermerk dokumentiert den Stand vor Einsicht in die vollständige Personalakte. Aussagen über Drucksituationen sind mit den getrennt abgelegten E-Mails, Gesprächsnotizen und dem Terminverlauf abzugleichen. Der Entwurf trägt keine Unterschrift der Mandantin.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08b_kanzleivermerk_aufhebungsvertrag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kanzlei@reuss-martens.de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zum nicht unterzeichneten Aufhebungsvertragsentwurf</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