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Anfechtungserklärung-Entwurf (Antwort an Adelheid Krummstab)</w:t>
      </w:r>
    </w:p>
    <w:p>
      <w:pPr>
        <w:jc w:val="left"/>
      </w:pPr>
      <w:r>
        <w:rPr>
          <w:b/>
        </w:rPr>
        <w:t>Bearbeitung:</w:t>
      </w:r>
      <w:r>
        <w:t xml:space="preserve"> Balduin Mertel, 27.04.2026</w:t>
      </w:r>
    </w:p>
    <w:p>
      <w:pPr>
        <w:jc w:val="left"/>
      </w:pPr>
      <w:r>
        <w:rPr>
          <w:b/>
        </w:rPr>
        <w:t>Pruefung:</w:t>
      </w:r>
      <w:r>
        <w:t xml:space="preserve"> RAin Dr. Ottilie Steinacker, ausstehend</w:t>
      </w:r>
    </w:p>
    <w:p>
      <w:pPr>
        <w:jc w:val="left"/>
      </w:pPr>
      <w:r>
        <w:rPr>
          <w:b/>
        </w:rPr>
        <w:t>Versand:</w:t>
      </w:r>
      <w:r>
        <w:t xml:space="preserve"> vorgesehen 30.04.2026 (Frist nach Adelheids Schreiben vom 18.04.2026)</w:t>
      </w:r>
    </w:p>
    <w:p>
      <w:pPr>
        <w:jc w:val="left"/>
      </w:pPr>
      <w:r>
        <w:rPr>
          <w:b/>
        </w:rPr>
        <w:t>Aktenzeichen:</w:t>
      </w:r>
      <w:r>
        <w:t xml:space="preserve"> RAB-2026/04/Rabenhaupt – Schriftwechsel-1</w:t>
      </w:r>
    </w:p>
    <w:p/>
    <w:p>
      <w:pPr>
        <w:jc w:val="left"/>
      </w:pPr>
      <w:r>
        <w:t>Kanzlei Am Torbogen</w:t>
      </w:r>
    </w:p>
    <w:p>
      <w:pPr>
        <w:jc w:val="left"/>
      </w:pPr>
      <w:r>
        <w:t>Dr. Ottilie Steinacker</w:t>
      </w:r>
    </w:p>
    <w:p>
      <w:pPr>
        <w:jc w:val="left"/>
      </w:pPr>
      <w:r>
        <w:t>Hindenburgplatz 4, 91077 Irmenstadt</w:t>
      </w:r>
    </w:p>
    <w:p>
      <w:pPr>
        <w:jc w:val="left"/>
      </w:pPr>
      <w:r>
        <w:t>Telefon 09122 - 88 22 14</w:t>
      </w:r>
    </w:p>
    <w:p>
      <w:pPr>
        <w:jc w:val="left"/>
      </w:pPr>
      <w:r>
        <w:t>E-Mail kanzlei@torbogen-recht.de</w:t>
      </w:r>
    </w:p>
    <w:p>
      <w:pPr>
        <w:jc w:val="left"/>
      </w:pPr>
      <w:r>
        <w:t>Frau</w:t>
      </w:r>
    </w:p>
    <w:p>
      <w:pPr>
        <w:jc w:val="left"/>
      </w:pPr>
      <w:r>
        <w:t>Adelheid Krummstab</w:t>
      </w:r>
    </w:p>
    <w:p>
      <w:pPr>
        <w:jc w:val="left"/>
      </w:pPr>
      <w:r>
        <w:t>Schwabacher Str. 41</w:t>
      </w:r>
    </w:p>
    <w:p>
      <w:pPr>
        <w:jc w:val="left"/>
      </w:pPr>
      <w:r>
        <w:t>90478 Nürnberg</w:t>
      </w:r>
    </w:p>
    <w:p>
      <w:pPr>
        <w:jc w:val="left"/>
      </w:pPr>
      <w:r>
        <w:t>Irmenstadt, 30.04.2026</w:t>
      </w:r>
    </w:p>
    <w:p>
      <w:pPr>
        <w:jc w:val="left"/>
      </w:pPr>
      <w:r>
        <w:rPr>
          <w:b/>
        </w:rPr>
        <w:t>Betreff:</w:t>
      </w:r>
      <w:r>
        <w:t xml:space="preserve"> Praegepresse AltWerk Nr. AW-77-426 / Vertragsschluss / Anfechtungsschreiben vom 18.04.2026</w:t>
      </w:r>
    </w:p>
    <w:p>
      <w:pPr>
        <w:jc w:val="left"/>
      </w:pPr>
      <w:r>
        <w:rPr>
          <w:b/>
        </w:rPr>
        <w:t>Aktenzeichen:</w:t>
      </w:r>
      <w:r>
        <w:t xml:space="preserve"> RAB-2026/04/Rabenhaupt</w:t>
      </w:r>
    </w:p>
    <w:p>
      <w:pPr>
        <w:jc w:val="left"/>
      </w:pPr>
      <w:r>
        <w:rPr>
          <w:b/>
        </w:rPr>
        <w:t>Mandantin:</w:t>
      </w:r>
      <w:r>
        <w:t xml:space="preserve"> Frau Kunigunde Rabenhaupt, Inhaberin der Rabenhaupt Restaurierungswerkstatt</w:t>
      </w:r>
    </w:p>
    <w:p>
      <w:pPr>
        <w:jc w:val="left"/>
      </w:pPr>
      <w:r>
        <w:t>Sehr geehrte Frau Krummstab,</w:t>
      </w:r>
    </w:p>
    <w:p>
      <w:pPr>
        <w:jc w:val="left"/>
      </w:pPr>
      <w:r>
        <w:t>ich zeige an, dass mich Frau Kunigunde Rabenhaupt mit der Wahrnehmung ihrer Interessen beauftragt hat. Auf Ihr Schreiben vom 18.04.2026 nehme ich wie folgt Stellung.</w:t>
      </w:r>
    </w:p>
    <w:p>
      <w:pPr>
        <w:pStyle w:val="Heading2"/>
      </w:pPr>
      <w:r>
        <w:rPr>
          <w:rFonts w:ascii="Times New Roman" w:hAnsi="Times New Roman"/>
        </w:rPr>
        <w:t>1. Zum Vertragsschluss</w:t>
      </w:r>
    </w:p>
    <w:p>
      <w:pPr>
        <w:jc w:val="left"/>
      </w:pPr>
      <w:r>
        <w:t>Das auf Ihrer Plattform AltWerk eingestellte Inserat AW-77-426 mit dem Hinweis "Sofortkauf möglich, 1.480 EUR" haben Sie selbst durch den Prüfvorbehalt in der Eingangsbestätigung vom 09.04.2026 als invitatio ad offerendum gekennzeichnet. Frau Rabenhaupts Klick auf den Sofortkauf-Button am 09.04.2026 stellt daher ein Angebot dar. Sie haben dieses Angebot mit Ihrer Mail vom 10.04.2026 (Bitte um Besichtigung) zunächst zurückgehalten und schliesslich mit Ihrer Mail vom 12.04.2026 durch ein neues, eigenes Lieferangebot ersetzt.</w:t>
      </w:r>
    </w:p>
    <w:p>
      <w:pPr>
        <w:jc w:val="left"/>
      </w:pPr>
      <w:r>
        <w:t>Frau Rabenhaupt hat Ihr Lieferangebot vom 12.04.2026 (1.480 EUR Kaufpreis zuzüglich 190 EUR Lieferung) mit ihrer Mail vom 14.04.2026, 08:06 Uhr angenommen.</w:t>
      </w:r>
    </w:p>
    <w:p>
      <w:pPr>
        <w:pStyle w:val="Heading2"/>
      </w:pPr>
      <w:r>
        <w:rPr>
          <w:rFonts w:ascii="Times New Roman" w:hAnsi="Times New Roman"/>
        </w:rPr>
        <w:t>2. Zur behaupteten Verspätung</w:t>
      </w:r>
    </w:p>
    <w:p>
      <w:pPr>
        <w:jc w:val="left"/>
      </w:pPr>
      <w:r>
        <w:t>Sie machen geltend, "Montagabend" habe während normaler Bürozeiten geendet. Diese Auslegung ist nicht zwingend. Nach Empfängerhorizont umfasst "Montagabend" jedenfalls den Abend des 13.04.2026 bis zum gewöhnlichen Tageswechsel. Die Erklärung Frau Rabenhaupts vom 13.04.2026, 22:48 Uhr war im Smartphone-Postausgang gespeichert und ist aufgrund der Mobilfunknetzlage erst beim erneuten WLAN-Einbuchen am 14.04.2026, 08:06 Uhr versendet worden. Insoweit hat Frau Rabenhaupt die Erklärung am 13.04.2026 abgegeben.</w:t>
      </w:r>
    </w:p>
    <w:p>
      <w:pPr>
        <w:jc w:val="left"/>
      </w:pPr>
      <w:r>
        <w:t xml:space="preserve">Aufgrund Ihres Mailserver-Logs (Eingang 14.04.2026 ca. 08:08 Uhr) ist Zugang bei Ihnen erst am Morgen des 14.04.2026 erfolgt. Da Sie aus der Mail nicht entnehmen konnten, dass die Erklärung bereits am 13.04.2026 verfasst war, kann der </w:t>
      </w:r>
      <w:r>
        <w:rPr>
          <w:b/>
        </w:rPr>
        <w:t>Empfängerhorizont</w:t>
      </w:r>
      <w:r>
        <w:t xml:space="preserve"> als Auslegungsmassstab für "Montagabend" relevant sein. Es ist gleichwohl Ihre eigene Erklärung "Montagabend", deren Auslegung Sie nicht einseitig auf "Büroschluss am Montag" verengen können.</w:t>
      </w:r>
    </w:p>
    <w:p>
      <w:pPr>
        <w:jc w:val="left"/>
      </w:pPr>
      <w:r>
        <w:t>Hilfsweise: Selbst wenn die Annahme als verspätet anzusehen wäre, gilt sie nach § 150 Abs. 1 BGB als neues Angebot, das Sie binnen angemessener Frist annehmen oder ablehnen könnten. Ihre Ablehnung wäre dann mit Ihrem Schreiben vom 18.04.2026 erklärt.</w:t>
      </w:r>
    </w:p>
    <w:p>
      <w:pPr>
        <w:pStyle w:val="Heading2"/>
      </w:pPr>
      <w:r>
        <w:rPr>
          <w:rFonts w:ascii="Times New Roman" w:hAnsi="Times New Roman"/>
        </w:rPr>
        <w:t>3. Zur Anfechtung Preis (§ 119 Abs. 1 BGB)</w:t>
      </w:r>
    </w:p>
    <w:p>
      <w:pPr>
        <w:jc w:val="left"/>
      </w:pPr>
      <w:r>
        <w:t>Sie behaupten, das Eintragen "1.480" sei ein Tippfehler gewesen; gemeint waren 14.800 EUR.</w:t>
      </w:r>
    </w:p>
    <w:p>
      <w:pPr>
        <w:jc w:val="left"/>
      </w:pPr>
      <w:r>
        <w:t>(a) Zur Glaubhaftigkeit: Sie haben am 09.04.2026 über 14 Stunden Zeit gehabt, das Inserat zu kontrollieren, und am 10.04.2026 eine umfangreiche Rückfrage zur Beschaffenheit gestellt, ohne den Preis zu korrigieren. Bei einer Preisspanne von Faktor 10 wäre eine Selbstkorrektur zu erwarten gewesen.</w:t>
      </w:r>
    </w:p>
    <w:p>
      <w:pPr>
        <w:jc w:val="left"/>
      </w:pPr>
      <w:r>
        <w:t xml:space="preserve">(b) Auch wenn man Ihren Vortrag zu Grunde legt, ist nicht klar, ob ein </w:t>
      </w:r>
      <w:r>
        <w:rPr>
          <w:b/>
        </w:rPr>
        <w:t>Erklärungsirrtum</w:t>
      </w:r>
      <w:r>
        <w:t xml:space="preserve"> im Sinne des § 119 Abs. 1 BGB oder ein </w:t>
      </w:r>
      <w:r>
        <w:rPr>
          <w:b/>
        </w:rPr>
        <w:t>Kalkulationsirrtum</w:t>
      </w:r>
      <w:r>
        <w:t xml:space="preserve"> vorliegt. Ein Kalkulationsirrtum berechtigt nicht zur Anfechtung. Bei einem Tippfehler im Sinne des Erklärungsirrtums ware die Anfechtungsfrist gewahrt, aber Frau Rabenhaupt wäre nach § 122 BGB hinsichtlich ihres Vertrauensschadens zu entschädigen.</w:t>
      </w:r>
    </w:p>
    <w:p>
      <w:pPr>
        <w:jc w:val="left"/>
      </w:pPr>
      <w:r>
        <w:t>(c) Frau Rabenhaupt hat für die Restaurierung der Druckanlage im Stift Falkenau die Praegepresse fest eingeplant. Das Auftragsvolumen liegt bei rund 78.400 EUR brutto. Wenn die Anfechtung durchgreifen sollte, behalten wir uns ausdrücklich vor, einen entsprechenden Vertrauensschaden geltend zu machen.</w:t>
      </w:r>
    </w:p>
    <w:p>
      <w:pPr>
        <w:pStyle w:val="Heading2"/>
      </w:pPr>
      <w:r>
        <w:rPr>
          <w:rFonts w:ascii="Times New Roman" w:hAnsi="Times New Roman"/>
        </w:rPr>
        <w:t>4. Zur Anfechtung Eigenschaft (§ 119 Abs. 2 BGB)</w:t>
      </w:r>
    </w:p>
    <w:p>
      <w:pPr>
        <w:jc w:val="left"/>
      </w:pPr>
      <w:r>
        <w:t>Sie behaupten, die Bronzeführung sei nicht vollständig. Frau Rabenhaupt verkennt das nicht; tatsächlich hat ihr Werkstattleiter Herr Fuchs Sie bereits bei der Besichtigung am 11.04.2026 auf die Mischführung hingewiesen. Sie haben in Ihrer Mail vom 12.04.2026 selbst geschrieben, die Führung wirke "bronzeartig", was sich nicht durchgehend bestätigen lasse. Ein wesentlicher Eigenschaftsirrtum ist nach Ihrer eigenen, vorsichtigen Beschreibung der Eigenschaft (Mail vom 12.04.2026) nicht offensichtlich.</w:t>
      </w:r>
    </w:p>
    <w:p>
      <w:pPr>
        <w:jc w:val="left"/>
      </w:pPr>
      <w:r>
        <w:t>Wenn Sie gleichwohl die Anfechtung aufrecht erhalten, behalten wir uns nochmals den Schadenersatz nach § 122 BGB vor.</w:t>
      </w:r>
    </w:p>
    <w:p>
      <w:pPr>
        <w:pStyle w:val="Heading2"/>
      </w:pPr>
      <w:r>
        <w:rPr>
          <w:rFonts w:ascii="Times New Roman" w:hAnsi="Times New Roman"/>
        </w:rPr>
        <w:t>5. Zum Quittungsblock-Zettel vom 11.04.2026</w:t>
      </w:r>
    </w:p>
    <w:p>
      <w:pPr>
        <w:jc w:val="left"/>
      </w:pPr>
      <w:r>
        <w:t>Sie weisen auf die Notiz "Falls die Werkstatt den Auftrag Stift Falkenau bekommt, bleibt es bei 1.480 plus Lieferung." hin. Diese Notiz haben Sie während der Besichtigung am 11.04.2026 verfasst; sie ist nicht in das Lieferangebot vom 12.04.2026 übernommen worden. Im Wege der Auslegung (§§ 133, 157 BGB) handelt es sich um eine motivische Aeusserung Ihrerseits, nicht um eine aufschiebende Bedingung.</w:t>
      </w:r>
    </w:p>
    <w:p>
      <w:pPr>
        <w:jc w:val="left"/>
      </w:pPr>
      <w:r>
        <w:t>Hilfsweise: Wenn man die Notiz als Bedingung versteht, ist die Bedingung am 16.04.2026 mit der mündlichen Auftragsbestätigung von Pater Konrad Tellbach (Stift Falkenau) eingetreten. Die schriftliche Bestätigung wird Ende Mai 2026 erwartet.</w:t>
      </w:r>
    </w:p>
    <w:p>
      <w:pPr>
        <w:pStyle w:val="Heading2"/>
      </w:pPr>
      <w:r>
        <w:rPr>
          <w:rFonts w:ascii="Times New Roman" w:hAnsi="Times New Roman"/>
        </w:rPr>
        <w:t>6. Zum Sittenwidrigkeitsvorwurf</w:t>
      </w:r>
    </w:p>
    <w:p>
      <w:pPr>
        <w:jc w:val="left"/>
      </w:pPr>
      <w:r>
        <w:t>Die Behauptung eines auffälligen Missverhältnisses zwischen Leistung und Gegenleistung weisen wir zurück. Die Praegepresse ist ausweislich der Besichtigung am 11.04.2026 beschädigt (Lagerblech gerissen, Walzen nicht original) und hat keine Mischführung in Originalbestaender. Der vereinbarte Preis von 1.480 EUR ist marktgerecht. Ein sittenwidriges Missverhältnis ist nicht ansatzweise erkennbar.</w:t>
      </w:r>
    </w:p>
    <w:p>
      <w:pPr>
        <w:pStyle w:val="Heading2"/>
      </w:pPr>
      <w:r>
        <w:rPr>
          <w:rFonts w:ascii="Times New Roman" w:hAnsi="Times New Roman"/>
        </w:rPr>
        <w:t>7. Zusammenfassung</w:t>
      </w:r>
    </w:p>
    <w:p>
      <w:pPr>
        <w:jc w:val="left"/>
      </w:pPr>
      <w:r>
        <w:t>Wir gehen davon aus, dass mit der Annahme vom 14.04.2026 ein Kaufvertrag zustande gekommen ist und dass Ihre Anfechtungserklärung vom 18.04.2026 zumindest hinsichtlich des Preisirrtums nicht durchgreift. Hinsichtlich der Eigenschaft ist Ihre Anfechtung wegen der unsicheren Beschaffenheitsbeschreibung in Ihrer eigenen Mail vom 12.04.2026 ebenfalls nicht aussichtsreich.</w:t>
      </w:r>
    </w:p>
    <w:p>
      <w:pPr>
        <w:jc w:val="left"/>
      </w:pPr>
      <w:r>
        <w:t xml:space="preserve">Wir bitten Sie, das Kaufgeschäft zu erfüllen und die Praegepresse AW-77-426 entsprechend Ihrem Angebot bis spätestens </w:t>
      </w:r>
      <w:r>
        <w:rPr>
          <w:b/>
        </w:rPr>
        <w:t>15.05.2026</w:t>
      </w:r>
      <w:r>
        <w:t xml:space="preserve"> an die Werkstatt in Wendelheim zu liefern oder zur Abholung bereitzustellen.</w:t>
      </w:r>
    </w:p>
    <w:p>
      <w:pPr>
        <w:jc w:val="left"/>
      </w:pPr>
      <w:r>
        <w:t xml:space="preserve">Wenn Sie bis zum </w:t>
      </w:r>
      <w:r>
        <w:rPr>
          <w:b/>
        </w:rPr>
        <w:t>08.05.2026</w:t>
      </w:r>
      <w:r>
        <w:t xml:space="preserve"> nicht reagieren, behalten wir uns gerichtliche Schritte auf Erfüllung sowie hilfsweise auf Schadenersatz wegen Nichterfüllung vor.</w:t>
      </w:r>
    </w:p>
    <w:p>
      <w:pPr>
        <w:jc w:val="left"/>
      </w:pPr>
      <w:r>
        <w:t>Mit freundlichen Gruessen</w:t>
      </w:r>
    </w:p>
    <w:p>
      <w:pPr>
        <w:jc w:val="left"/>
      </w:pPr>
      <w:r>
        <w:t>Dr. Ottilie Steinacker</w:t>
      </w:r>
    </w:p>
    <w:p>
      <w:pPr>
        <w:jc w:val="left"/>
      </w:pPr>
      <w:r>
        <w:t>Rechtsanwältin</w:t>
      </w:r>
    </w:p>
    <w:p/>
    <w:p>
      <w:pPr>
        <w:pStyle w:val="Heading2"/>
      </w:pPr>
      <w:r>
        <w:rPr>
          <w:rFonts w:ascii="Times New Roman" w:hAnsi="Times New Roman"/>
        </w:rPr>
        <w:t>Hinweise zur Schlussfreigabe</w:t>
      </w:r>
    </w:p>
    <w:p>
      <w:pPr>
        <w:pStyle w:val="ListBullet"/>
      </w:pPr>
      <w:r>
        <w:t>Die Linie "Vertrag wahrscheinlich zustande gekommen, Anfechtung schwach" ist anwaltlich vertretbar, aber nicht ohne Risiko. Eine Niederlage in der Verspaetungsfrage würde die Restschadenersatzlinie der Mandantin nach § 122 BGB erforderlich machen.</w:t>
      </w:r>
    </w:p>
    <w:p>
      <w:pPr>
        <w:pStyle w:val="ListBullet"/>
      </w:pPr>
      <w:r>
        <w:t>Vor Versand: Telefonat mit Mandantin zur Bestätigung, dass sie auf Erfüllung besteht (alternativ: Vergleich auf höheren Preis suchen, etwa 4.500 EUR).</w:t>
      </w:r>
    </w:p>
    <w:p>
      <w:pPr>
        <w:pStyle w:val="ListBullet"/>
      </w:pPr>
      <w:r>
        <w:t>Sachverstaendigenbeauftragung Bock-Mertner (vgl. 07_form_sittenwidrigkeit_bedingung.md) erwägen, falls Adelheid bei ihrer Position bleibt.</w:t>
      </w:r>
    </w:p>
    <w:p>
      <w:pPr>
        <w:pStyle w:val="ListBullet"/>
      </w:pPr>
      <w:r>
        <w:t>Stift Falkenau: schriftliche Bestätigung von Pater Tellbach einholen, ehe die Bedingung als eingetreten geführt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