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 Wendelbert Eisenhut GmbH über Pressezubehör</w:t>
      </w:r>
    </w:p>
    <w:p>
      <w:pPr>
        <w:jc w:val="left"/>
      </w:pPr>
      <w:r>
        <w:rPr>
          <w:b/>
        </w:rPr>
        <w:t>Wendelbert Eisenhut GmbH</w:t>
      </w:r>
    </w:p>
    <w:p>
      <w:pPr>
        <w:jc w:val="left"/>
      </w:pPr>
      <w:r>
        <w:t>Industriestr. 14</w:t>
      </w:r>
    </w:p>
    <w:p>
      <w:pPr>
        <w:jc w:val="left"/>
      </w:pPr>
      <w:r>
        <w:t>90439 Nürnberg</w:t>
      </w:r>
    </w:p>
    <w:p>
      <w:pPr>
        <w:jc w:val="left"/>
      </w:pPr>
      <w:r>
        <w:t>HRB 73 442 AG Nürnberg</w:t>
      </w:r>
    </w:p>
    <w:p>
      <w:pPr>
        <w:jc w:val="left"/>
      </w:pPr>
      <w:r>
        <w:t>USt-IdNr. DE 137 884 200</w:t>
      </w:r>
    </w:p>
    <w:p>
      <w:pPr>
        <w:jc w:val="left"/>
      </w:pPr>
      <w:r>
        <w:t>Bankverbindung: Sparkasse Mittelfranken, IBAN DE32 7625 0000 0011 7788 00, BIC BYLADEM1NMS</w:t>
      </w:r>
    </w:p>
    <w:p>
      <w:pPr>
        <w:jc w:val="left"/>
      </w:pPr>
      <w:r>
        <w:t xml:space="preserve">Rechnung </w:t>
      </w:r>
      <w:r>
        <w:rPr>
          <w:b/>
        </w:rPr>
        <w:t>WE-2026-22884</w:t>
      </w:r>
    </w:p>
    <w:p>
      <w:pPr>
        <w:jc w:val="left"/>
      </w:pPr>
      <w:r>
        <w:t>Rechnungsdatum: 16.04.2026</w:t>
      </w:r>
    </w:p>
    <w:p>
      <w:pPr>
        <w:jc w:val="left"/>
      </w:pPr>
      <w:r>
        <w:t>Fällig: 30.04.2026 (Skonto 2% bis 23.04.2026)</w:t>
      </w:r>
    </w:p>
    <w:p>
      <w:pPr>
        <w:jc w:val="left"/>
      </w:pPr>
      <w:r>
        <w:rPr>
          <w:b/>
        </w:rPr>
        <w:t>Leistungsempfängerin:</w:t>
      </w:r>
    </w:p>
    <w:p>
      <w:pPr>
        <w:jc w:val="left"/>
      </w:pPr>
      <w:r>
        <w:t>Rabenhaupt Restaurierungswerkstatt</w:t>
      </w:r>
    </w:p>
    <w:p>
      <w:pPr>
        <w:jc w:val="left"/>
      </w:pPr>
      <w:r>
        <w:t>Frau Kunigunde Rabenhaupt (Inhaberin)</w:t>
      </w:r>
    </w:p>
    <w:p>
      <w:pPr>
        <w:jc w:val="left"/>
      </w:pPr>
      <w:r>
        <w:t>Altmarkt 8</w:t>
      </w:r>
    </w:p>
    <w:p>
      <w:pPr>
        <w:jc w:val="left"/>
      </w:pPr>
      <w:r>
        <w:t>91086 Wendelheim</w:t>
      </w:r>
    </w:p>
    <w:p>
      <w:pPr>
        <w:jc w:val="left"/>
      </w:pPr>
      <w:r>
        <w:rPr>
          <w:b/>
        </w:rPr>
        <w:t>Bestellnummer:</w:t>
      </w:r>
      <w:r>
        <w:t xml:space="preserve"> WE-2026-22884</w:t>
      </w:r>
    </w:p>
    <w:p>
      <w:pPr>
        <w:jc w:val="left"/>
      </w:pPr>
      <w:r>
        <w:rPr>
          <w:b/>
        </w:rPr>
        <w:t>Lieferdatum:</w:t>
      </w:r>
      <w:r>
        <w:t xml:space="preserve"> 22.04.2026 (Anlieferung Speditionspartner Spreng)</w:t>
      </w:r>
    </w:p>
    <w:p>
      <w:pPr>
        <w:jc w:val="left"/>
      </w:pPr>
      <w:r>
        <w:rPr>
          <w:b/>
        </w:rPr>
        <w:t>Besteller laut Bestellschein:</w:t>
      </w:r>
      <w:r>
        <w:t xml:space="preserve"> Herr Hildebrand Fuchs (Werkstattleiter), telefonisch 15.04.2026 13:08 Uhr, mit Bestätigung per E-Mail 15.04.2026 13:42 Uhr.</w:t>
      </w:r>
    </w:p>
    <w:p>
      <w:pPr>
        <w:pStyle w:val="Heading2"/>
      </w:pPr>
      <w:r>
        <w:rPr>
          <w:rFonts w:ascii="Times New Roman" w:hAnsi="Times New Roman"/>
        </w:rPr>
        <w:t>Leistungsbeschreibung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w:t>
            </w:r>
          </w:p>
        </w:tc>
        <w:tc>
          <w:tcPr>
            <w:tcW w:type="dxa" w:w="1814"/>
          </w:tcPr>
          <w:p>
            <w:r>
              <w:rPr>
                <w:rFonts w:ascii="Times New Roman" w:hAnsi="Times New Roman"/>
                <w:b/>
                <w:sz w:val="20"/>
              </w:rPr>
              <w:t>Menge</w:t>
            </w:r>
          </w:p>
        </w:tc>
        <w:tc>
          <w:tcPr>
            <w:tcW w:type="dxa" w:w="1814"/>
          </w:tcPr>
          <w:p>
            <w:r>
              <w:rPr>
                <w:rFonts w:ascii="Times New Roman" w:hAnsi="Times New Roman"/>
                <w:b/>
                <w:sz w:val="20"/>
              </w:rPr>
              <w:t>Bezeichnung</w:t>
            </w:r>
          </w:p>
        </w:tc>
        <w:tc>
          <w:tcPr>
            <w:tcW w:type="dxa" w:w="1814"/>
          </w:tcPr>
          <w:p>
            <w:r>
              <w:rPr>
                <w:rFonts w:ascii="Times New Roman" w:hAnsi="Times New Roman"/>
                <w:b/>
                <w:sz w:val="20"/>
              </w:rPr>
              <w:t>Einzelpreis netto</w:t>
            </w:r>
          </w:p>
        </w:tc>
        <w:tc>
          <w:tcPr>
            <w:tcW w:type="dxa" w:w="1814"/>
          </w:tcPr>
          <w:p>
            <w:r>
              <w:rPr>
                <w:rFonts w:ascii="Times New Roman" w:hAnsi="Times New Roman"/>
                <w:b/>
                <w:sz w:val="20"/>
              </w:rPr>
              <w:t>Summe netto</w:t>
            </w:r>
          </w:p>
        </w:tc>
      </w:tr>
      <w:tr>
        <w:tc>
          <w:tcPr>
            <w:tcW w:type="dxa" w:w="1814"/>
          </w:tcPr>
          <w:p>
            <w:r>
              <w:rPr>
                <w:rFonts w:ascii="Times New Roman" w:hAnsi="Times New Roman"/>
                <w:sz w:val="20"/>
              </w:rPr>
              <w:t>01</w:t>
            </w:r>
          </w:p>
        </w:tc>
        <w:tc>
          <w:tcPr>
            <w:tcW w:type="dxa" w:w="1814"/>
          </w:tcPr>
          <w:p>
            <w:r>
              <w:rPr>
                <w:rFonts w:ascii="Times New Roman" w:hAnsi="Times New Roman"/>
                <w:sz w:val="20"/>
              </w:rPr>
              <w:t>1</w:t>
            </w:r>
          </w:p>
        </w:tc>
        <w:tc>
          <w:tcPr>
            <w:tcW w:type="dxa" w:w="1814"/>
          </w:tcPr>
          <w:p>
            <w:r>
              <w:rPr>
                <w:rFonts w:ascii="Times New Roman" w:hAnsi="Times New Roman"/>
                <w:sz w:val="20"/>
              </w:rPr>
              <w:t>Amboss, schmaler Druckerwinkel, gusseisen, lackiert</w:t>
            </w:r>
          </w:p>
        </w:tc>
        <w:tc>
          <w:tcPr>
            <w:tcW w:type="dxa" w:w="1814"/>
          </w:tcPr>
          <w:p>
            <w:r>
              <w:rPr>
                <w:rFonts w:ascii="Times New Roman" w:hAnsi="Times New Roman"/>
                <w:sz w:val="20"/>
              </w:rPr>
              <w:t>1.890,00 EUR</w:t>
            </w:r>
          </w:p>
        </w:tc>
        <w:tc>
          <w:tcPr>
            <w:tcW w:type="dxa" w:w="1814"/>
          </w:tcPr>
          <w:p>
            <w:r>
              <w:rPr>
                <w:rFonts w:ascii="Times New Roman" w:hAnsi="Times New Roman"/>
                <w:sz w:val="20"/>
              </w:rPr>
              <w:t>1.890,00 EUR</w:t>
            </w:r>
          </w:p>
        </w:tc>
      </w:tr>
      <w:tr>
        <w:tc>
          <w:tcPr>
            <w:tcW w:type="dxa" w:w="1814"/>
          </w:tcPr>
          <w:p>
            <w:r>
              <w:rPr>
                <w:rFonts w:ascii="Times New Roman" w:hAnsi="Times New Roman"/>
                <w:sz w:val="20"/>
              </w:rPr>
              <w:t>02</w:t>
            </w:r>
          </w:p>
        </w:tc>
        <w:tc>
          <w:tcPr>
            <w:tcW w:type="dxa" w:w="1814"/>
          </w:tcPr>
          <w:p>
            <w:r>
              <w:rPr>
                <w:rFonts w:ascii="Times New Roman" w:hAnsi="Times New Roman"/>
                <w:sz w:val="20"/>
              </w:rPr>
              <w:t>1</w:t>
            </w:r>
          </w:p>
        </w:tc>
        <w:tc>
          <w:tcPr>
            <w:tcW w:type="dxa" w:w="1814"/>
          </w:tcPr>
          <w:p>
            <w:r>
              <w:rPr>
                <w:rFonts w:ascii="Times New Roman" w:hAnsi="Times New Roman"/>
                <w:sz w:val="20"/>
              </w:rPr>
              <w:t>Walzensatz Praegepresse "Buchpraege", komplett</w:t>
            </w:r>
          </w:p>
        </w:tc>
        <w:tc>
          <w:tcPr>
            <w:tcW w:type="dxa" w:w="1814"/>
          </w:tcPr>
          <w:p>
            <w:r>
              <w:rPr>
                <w:rFonts w:ascii="Times New Roman" w:hAnsi="Times New Roman"/>
                <w:sz w:val="20"/>
              </w:rPr>
              <w:t>2.480,00 EUR</w:t>
            </w:r>
          </w:p>
        </w:tc>
        <w:tc>
          <w:tcPr>
            <w:tcW w:type="dxa" w:w="1814"/>
          </w:tcPr>
          <w:p>
            <w:r>
              <w:rPr>
                <w:rFonts w:ascii="Times New Roman" w:hAnsi="Times New Roman"/>
                <w:sz w:val="20"/>
              </w:rPr>
              <w:t>2.480,00 EUR</w:t>
            </w:r>
          </w:p>
        </w:tc>
      </w:tr>
      <w:tr>
        <w:tc>
          <w:tcPr>
            <w:tcW w:type="dxa" w:w="1814"/>
          </w:tcPr>
          <w:p>
            <w:r>
              <w:rPr>
                <w:rFonts w:ascii="Times New Roman" w:hAnsi="Times New Roman"/>
                <w:sz w:val="20"/>
              </w:rPr>
              <w:t>03</w:t>
            </w:r>
          </w:p>
        </w:tc>
        <w:tc>
          <w:tcPr>
            <w:tcW w:type="dxa" w:w="1814"/>
          </w:tcPr>
          <w:p>
            <w:r>
              <w:rPr>
                <w:rFonts w:ascii="Times New Roman" w:hAnsi="Times New Roman"/>
                <w:sz w:val="20"/>
              </w:rPr>
              <w:t>1</w:t>
            </w:r>
          </w:p>
        </w:tc>
        <w:tc>
          <w:tcPr>
            <w:tcW w:type="dxa" w:w="1814"/>
          </w:tcPr>
          <w:p>
            <w:r>
              <w:rPr>
                <w:rFonts w:ascii="Times New Roman" w:hAnsi="Times New Roman"/>
                <w:sz w:val="20"/>
              </w:rPr>
              <w:t>Bleiablage Holzkonstruktion, massiv, mit Kartothek</w:t>
            </w:r>
          </w:p>
        </w:tc>
        <w:tc>
          <w:tcPr>
            <w:tcW w:type="dxa" w:w="1814"/>
          </w:tcPr>
          <w:p>
            <w:r>
              <w:rPr>
                <w:rFonts w:ascii="Times New Roman" w:hAnsi="Times New Roman"/>
                <w:sz w:val="20"/>
              </w:rPr>
              <w:t>1.140,00 EUR</w:t>
            </w:r>
          </w:p>
        </w:tc>
        <w:tc>
          <w:tcPr>
            <w:tcW w:type="dxa" w:w="1814"/>
          </w:tcPr>
          <w:p>
            <w:r>
              <w:rPr>
                <w:rFonts w:ascii="Times New Roman" w:hAnsi="Times New Roman"/>
                <w:sz w:val="20"/>
              </w:rPr>
              <w:t>1.140,00 EUR</w:t>
            </w:r>
          </w:p>
        </w:tc>
      </w:tr>
      <w:tr>
        <w:tc>
          <w:tcPr>
            <w:tcW w:type="dxa" w:w="1814"/>
          </w:tcPr>
          <w:p>
            <w:r>
              <w:rPr>
                <w:rFonts w:ascii="Times New Roman" w:hAnsi="Times New Roman"/>
                <w:sz w:val="20"/>
              </w:rPr>
              <w:t>04</w:t>
            </w:r>
          </w:p>
        </w:tc>
        <w:tc>
          <w:tcPr>
            <w:tcW w:type="dxa" w:w="1814"/>
          </w:tcPr>
          <w:p>
            <w:r>
              <w:rPr>
                <w:rFonts w:ascii="Times New Roman" w:hAnsi="Times New Roman"/>
                <w:sz w:val="20"/>
              </w:rPr>
              <w:t>4</w:t>
            </w:r>
          </w:p>
        </w:tc>
        <w:tc>
          <w:tcPr>
            <w:tcW w:type="dxa" w:w="1814"/>
          </w:tcPr>
          <w:p>
            <w:r>
              <w:rPr>
                <w:rFonts w:ascii="Times New Roman" w:hAnsi="Times New Roman"/>
                <w:sz w:val="20"/>
              </w:rPr>
              <w:t>Führungsleisten Stahl, gehärtet, je 80 cm</w:t>
            </w:r>
          </w:p>
        </w:tc>
        <w:tc>
          <w:tcPr>
            <w:tcW w:type="dxa" w:w="1814"/>
          </w:tcPr>
          <w:p>
            <w:r>
              <w:rPr>
                <w:rFonts w:ascii="Times New Roman" w:hAnsi="Times New Roman"/>
                <w:sz w:val="20"/>
              </w:rPr>
              <w:t>410,00 EUR</w:t>
            </w:r>
          </w:p>
        </w:tc>
        <w:tc>
          <w:tcPr>
            <w:tcW w:type="dxa" w:w="1814"/>
          </w:tcPr>
          <w:p>
            <w:r>
              <w:rPr>
                <w:rFonts w:ascii="Times New Roman" w:hAnsi="Times New Roman"/>
                <w:sz w:val="20"/>
              </w:rPr>
              <w:t>1.640,00 EUR</w:t>
            </w:r>
          </w:p>
        </w:tc>
      </w:tr>
      <w:tr>
        <w:tc>
          <w:tcPr>
            <w:tcW w:type="dxa" w:w="1814"/>
          </w:tcPr>
          <w:p>
            <w:r>
              <w:rPr>
                <w:rFonts w:ascii="Times New Roman" w:hAnsi="Times New Roman"/>
                <w:sz w:val="20"/>
              </w:rPr>
              <w:t>05</w:t>
            </w:r>
          </w:p>
        </w:tc>
        <w:tc>
          <w:tcPr>
            <w:tcW w:type="dxa" w:w="1814"/>
          </w:tcPr>
          <w:p>
            <w:r>
              <w:rPr>
                <w:rFonts w:ascii="Times New Roman" w:hAnsi="Times New Roman"/>
                <w:sz w:val="20"/>
              </w:rPr>
              <w:t>1</w:t>
            </w:r>
          </w:p>
        </w:tc>
        <w:tc>
          <w:tcPr>
            <w:tcW w:type="dxa" w:w="1814"/>
          </w:tcPr>
          <w:p>
            <w:r>
              <w:rPr>
                <w:rFonts w:ascii="Times New Roman" w:hAnsi="Times New Roman"/>
                <w:sz w:val="20"/>
              </w:rPr>
              <w:t>Ölbad für Lager und Wellen, Edelstahl, 22 l</w:t>
            </w:r>
          </w:p>
        </w:tc>
        <w:tc>
          <w:tcPr>
            <w:tcW w:type="dxa" w:w="1814"/>
          </w:tcPr>
          <w:p>
            <w:r>
              <w:rPr>
                <w:rFonts w:ascii="Times New Roman" w:hAnsi="Times New Roman"/>
                <w:sz w:val="20"/>
              </w:rPr>
              <w:t>920,00 EUR</w:t>
            </w:r>
          </w:p>
        </w:tc>
        <w:tc>
          <w:tcPr>
            <w:tcW w:type="dxa" w:w="1814"/>
          </w:tcPr>
          <w:p>
            <w:r>
              <w:rPr>
                <w:rFonts w:ascii="Times New Roman" w:hAnsi="Times New Roman"/>
                <w:sz w:val="20"/>
              </w:rPr>
              <w:t>920,00 EUR</w:t>
            </w:r>
          </w:p>
        </w:tc>
      </w:tr>
      <w:tr>
        <w:tc>
          <w:tcPr>
            <w:tcW w:type="dxa" w:w="1814"/>
          </w:tcPr>
          <w:p>
            <w:r>
              <w:rPr>
                <w:rFonts w:ascii="Times New Roman" w:hAnsi="Times New Roman"/>
                <w:sz w:val="20"/>
              </w:rPr>
              <w:t>06</w:t>
            </w:r>
          </w:p>
        </w:tc>
        <w:tc>
          <w:tcPr>
            <w:tcW w:type="dxa" w:w="1814"/>
          </w:tcPr>
          <w:p>
            <w:r>
              <w:rPr>
                <w:rFonts w:ascii="Times New Roman" w:hAnsi="Times New Roman"/>
                <w:sz w:val="20"/>
              </w:rPr>
              <w:t>1</w:t>
            </w:r>
          </w:p>
        </w:tc>
        <w:tc>
          <w:tcPr>
            <w:tcW w:type="dxa" w:w="1814"/>
          </w:tcPr>
          <w:p>
            <w:r>
              <w:rPr>
                <w:rFonts w:ascii="Times New Roman" w:hAnsi="Times New Roman"/>
                <w:sz w:val="20"/>
              </w:rPr>
              <w:t>Reinigungs- und Pflegeset Praegemaschinen</w:t>
            </w:r>
          </w:p>
        </w:tc>
        <w:tc>
          <w:tcPr>
            <w:tcW w:type="dxa" w:w="1814"/>
          </w:tcPr>
          <w:p>
            <w:r>
              <w:rPr>
                <w:rFonts w:ascii="Times New Roman" w:hAnsi="Times New Roman"/>
                <w:sz w:val="20"/>
              </w:rPr>
              <w:t>480,00 EUR</w:t>
            </w:r>
          </w:p>
        </w:tc>
        <w:tc>
          <w:tcPr>
            <w:tcW w:type="dxa" w:w="1814"/>
          </w:tcPr>
          <w:p>
            <w:r>
              <w:rPr>
                <w:rFonts w:ascii="Times New Roman" w:hAnsi="Times New Roman"/>
                <w:sz w:val="20"/>
              </w:rPr>
              <w:t>480,00 EUR</w:t>
            </w:r>
          </w:p>
        </w:tc>
      </w:tr>
      <w:tr>
        <w:tc>
          <w:tcPr>
            <w:tcW w:type="dxa" w:w="1814"/>
          </w:tcPr>
          <w:p>
            <w:r>
              <w:rPr>
                <w:rFonts w:ascii="Times New Roman" w:hAnsi="Times New Roman"/>
                <w:sz w:val="20"/>
              </w:rPr>
              <w:t>07</w:t>
            </w:r>
          </w:p>
        </w:tc>
        <w:tc>
          <w:tcPr>
            <w:tcW w:type="dxa" w:w="1814"/>
          </w:tcPr>
          <w:p>
            <w:r>
              <w:rPr>
                <w:rFonts w:ascii="Times New Roman" w:hAnsi="Times New Roman"/>
                <w:sz w:val="20"/>
              </w:rPr>
              <w:t>1</w:t>
            </w:r>
          </w:p>
        </w:tc>
        <w:tc>
          <w:tcPr>
            <w:tcW w:type="dxa" w:w="1814"/>
          </w:tcPr>
          <w:p>
            <w:r>
              <w:rPr>
                <w:rFonts w:ascii="Times New Roman" w:hAnsi="Times New Roman"/>
                <w:sz w:val="20"/>
              </w:rPr>
              <w:t>Lieferung und Montagepauschale</w:t>
            </w:r>
          </w:p>
        </w:tc>
        <w:tc>
          <w:tcPr>
            <w:tcW w:type="dxa" w:w="1814"/>
          </w:tcPr>
          <w:p>
            <w:r>
              <w:rPr>
                <w:rFonts w:ascii="Times New Roman" w:hAnsi="Times New Roman"/>
                <w:sz w:val="20"/>
              </w:rPr>
              <w:t>1.920,00 EUR</w:t>
            </w:r>
          </w:p>
        </w:tc>
        <w:tc>
          <w:tcPr>
            <w:tcW w:type="dxa" w:w="1814"/>
          </w:tcPr>
          <w:p>
            <w:r>
              <w:rPr>
                <w:rFonts w:ascii="Times New Roman" w:hAnsi="Times New Roman"/>
                <w:sz w:val="20"/>
              </w:rPr>
              <w:t>1.920,00 EUR</w:t>
            </w:r>
          </w:p>
        </w:tc>
      </w:tr>
      <w:tr>
        <w:tc>
          <w:tcPr>
            <w:tcW w:type="dxa" w:w="1814"/>
          </w:tcPr>
          <w:p>
            <w:r>
              <w:rPr>
                <w:rFonts w:ascii="Times New Roman" w:hAnsi="Times New Roman"/>
                <w:b/>
                <w:sz w:val="20"/>
              </w:rPr>
              <w:t>Summe netto</w:t>
            </w:r>
          </w:p>
        </w:tc>
        <w:tc>
          <w:tcPr>
            <w:tcW w:type="dxa" w:w="1814"/>
          </w:tcPr>
          <w:p/>
        </w:tc>
        <w:tc>
          <w:tcPr>
            <w:tcW w:type="dxa" w:w="1814"/>
          </w:tcPr>
          <w:p/>
        </w:tc>
        <w:tc>
          <w:tcPr>
            <w:tcW w:type="dxa" w:w="1814"/>
          </w:tcPr>
          <w:p/>
        </w:tc>
        <w:tc>
          <w:tcPr>
            <w:tcW w:type="dxa" w:w="1814"/>
          </w:tcPr>
          <w:p>
            <w:r>
              <w:rPr>
                <w:rFonts w:ascii="Times New Roman" w:hAnsi="Times New Roman"/>
                <w:b/>
                <w:sz w:val="20"/>
              </w:rPr>
              <w:t>10.470,00 EUR</w:t>
            </w:r>
          </w:p>
        </w:tc>
      </w:tr>
      <w:tr>
        <w:tc>
          <w:tcPr>
            <w:tcW w:type="dxa" w:w="1814"/>
          </w:tcPr>
          <w:p>
            <w:r>
              <w:rPr>
                <w:rFonts w:ascii="Times New Roman" w:hAnsi="Times New Roman"/>
                <w:sz w:val="20"/>
              </w:rPr>
              <w:t>Umsatzsteuer 19%</w:t>
            </w:r>
          </w:p>
        </w:tc>
        <w:tc>
          <w:tcPr>
            <w:tcW w:type="dxa" w:w="1814"/>
          </w:tcPr>
          <w:p/>
        </w:tc>
        <w:tc>
          <w:tcPr>
            <w:tcW w:type="dxa" w:w="1814"/>
          </w:tcPr>
          <w:p/>
        </w:tc>
        <w:tc>
          <w:tcPr>
            <w:tcW w:type="dxa" w:w="1814"/>
          </w:tcPr>
          <w:p/>
        </w:tc>
        <w:tc>
          <w:tcPr>
            <w:tcW w:type="dxa" w:w="1814"/>
          </w:tcPr>
          <w:p>
            <w:r>
              <w:rPr>
                <w:rFonts w:ascii="Times New Roman" w:hAnsi="Times New Roman"/>
                <w:sz w:val="20"/>
              </w:rPr>
              <w:t>1.989,30 EUR</w:t>
            </w:r>
          </w:p>
        </w:tc>
      </w:tr>
      <w:tr>
        <w:tc>
          <w:tcPr>
            <w:tcW w:type="dxa" w:w="1814"/>
          </w:tcPr>
          <w:p>
            <w:r>
              <w:rPr>
                <w:rFonts w:ascii="Times New Roman" w:hAnsi="Times New Roman"/>
                <w:b/>
                <w:sz w:val="20"/>
              </w:rPr>
              <w:t>Rechnungsbetrag brutto</w:t>
            </w:r>
          </w:p>
        </w:tc>
        <w:tc>
          <w:tcPr>
            <w:tcW w:type="dxa" w:w="1814"/>
          </w:tcPr>
          <w:p/>
        </w:tc>
        <w:tc>
          <w:tcPr>
            <w:tcW w:type="dxa" w:w="1814"/>
          </w:tcPr>
          <w:p/>
        </w:tc>
        <w:tc>
          <w:tcPr>
            <w:tcW w:type="dxa" w:w="1814"/>
          </w:tcPr>
          <w:p/>
        </w:tc>
        <w:tc>
          <w:tcPr>
            <w:tcW w:type="dxa" w:w="1814"/>
          </w:tcPr>
          <w:p>
            <w:r>
              <w:rPr>
                <w:rFonts w:ascii="Times New Roman" w:hAnsi="Times New Roman"/>
                <w:b/>
                <w:sz w:val="20"/>
              </w:rPr>
              <w:t>12.459,30 EUR</w:t>
            </w:r>
          </w:p>
        </w:tc>
      </w:tr>
    </w:tbl>
    <w:p>
      <w:pPr>
        <w:jc w:val="left"/>
      </w:pPr>
      <w:r>
        <w:rPr>
          <w:b/>
        </w:rPr>
        <w:t>Gerundet auf vereinbarten Betrag:</w:t>
      </w:r>
      <w:r>
        <w:t xml:space="preserve"> 12.460,00 EUR (Skonto-Vereinbarung gilt für den runden Betrag).</w:t>
      </w:r>
    </w:p>
    <w:p>
      <w:pPr>
        <w:pStyle w:val="Heading2"/>
      </w:pPr>
      <w:r>
        <w:rPr>
          <w:rFonts w:ascii="Times New Roman" w:hAnsi="Times New Roman"/>
        </w:rPr>
        <w:t>Hinweis zur Bestellung</w:t>
      </w:r>
    </w:p>
    <w:p>
      <w:pPr>
        <w:ind w:left="567"/>
      </w:pPr>
      <w:r>
        <w:rPr>
          <w:i/>
        </w:rPr>
        <w:t>"Bestellung erfolgte am 15.04.2026, 13:08 Uhr, telefonisch durch Herrn Fuchs. Telefonpartner Wendelbert Eisenhut jun. Bestellbestätigung per E-Mail um 13:42 Uhr an kontakt@rabenhaupt-werkstatt.de. Herr Fuchs hat Vollmacht der Inhaberin Frau Rabenhaupt für Werkstattbedarf vorliegend (Vollmacht vom 03.01.2026, Wendelbert Eisenhut GmbH bekannt aus laufender Geschäftsbeziehung)."</w:t>
      </w:r>
    </w:p>
    <w:p>
      <w:pPr>
        <w:pStyle w:val="Heading2"/>
      </w:pPr>
      <w:r>
        <w:rPr>
          <w:rFonts w:ascii="Times New Roman" w:hAnsi="Times New Roman"/>
        </w:rPr>
        <w:t>Zahlung</w:t>
      </w:r>
    </w:p>
    <w:p>
      <w:pPr>
        <w:jc w:val="left"/>
      </w:pPr>
      <w:r>
        <w:t>Bitte überweisen Sie den Rechnungsbetrag bis spätestens 30.04.2026 auf das oben angegebene Konto. Bei Zahlungseingang bis 23.04.2026 abziehen Sie bitte 2 % Skonto, also netto 11.214,30 EUR brutto.</w:t>
      </w:r>
    </w:p>
    <w:p>
      <w:pPr>
        <w:pStyle w:val="Heading2"/>
      </w:pPr>
      <w:r>
        <w:rPr>
          <w:rFonts w:ascii="Times New Roman" w:hAnsi="Times New Roman"/>
        </w:rPr>
        <w:t>Reaktion Mandantin</w:t>
      </w:r>
    </w:p>
    <w:p>
      <w:pPr>
        <w:jc w:val="left"/>
      </w:pPr>
      <w:r>
        <w:t>Frau Rabenhaupt hat die Rechnung am 17.04.2026, 09:00 Uhr über Mechthild Federlein im Werkstattbüro gesehen. Sie hat die Zahlung nicht freigegeben. Aktennotiz: "Erst mit Anwältin." Die Rechnung wurde zur Akte genommen. Skontofrist ist nicht genutzt.</w:t>
      </w:r>
    </w:p>
    <w:p>
      <w:pPr>
        <w:pStyle w:val="Heading2"/>
      </w:pPr>
      <w:r>
        <w:rPr>
          <w:rFonts w:ascii="Times New Roman" w:hAnsi="Times New Roman"/>
        </w:rPr>
        <w:t>Rückschein des Spediteurs Spreng</w:t>
      </w:r>
    </w:p>
    <w:p>
      <w:pPr>
        <w:jc w:val="left"/>
      </w:pPr>
      <w:r>
        <w:t>Spedition Spreng Nürnberg hat am 22.04.2026, 10:14 Uhr in Wendelheim eine Anlieferung versucht. Hildebrand Fuchs hat die Ware angenommen und mit Unterschrift quittiert. Eine ausdrückliche Genehmigung durch Frau Rabenhaupt ist nicht erfolgt. Die Ware steht im Werkstattlager, Lagerplatz 14C, originalverpackt.</w:t>
      </w:r>
    </w:p>
    <w:p>
      <w:pPr>
        <w:pStyle w:val="Heading2"/>
      </w:pPr>
      <w:r>
        <w:rPr>
          <w:rFonts w:ascii="Times New Roman" w:hAnsi="Times New Roman"/>
        </w:rPr>
        <w:t>Telefonat Wendelbert Eisenhut jun. am 24.04.2026 (Stichworte aus Aktennotiz Ottilie Steinacker)</w:t>
      </w:r>
    </w:p>
    <w:p>
      <w:pPr>
        <w:ind w:left="567"/>
      </w:pPr>
      <w:r>
        <w:rPr>
          <w:i/>
        </w:rPr>
        <w:t>"Frau RAin, wir haben mit der Werkstatt seit 2014 über 800.000 EUR Umsatz gemacht. Wenn Herr Fuchs anruft, gilt das für uns immer. Wir haben nie eine schriftliche Vollmachtsgrenze von Frau Rabenhaupt mitgeteilt bekommen. Mein Vater hatte einmal gemeint, sie schaue auf Bestellungen über 8.000. Ich habe das so nicht gewertet, schon weil Bestellungen über 8.000 bei uns regelmaessig vorkommen (im Mittel zwei pro Jahr). Wenn die Werkstatt jetzt sagt, die Bestellung sei nicht von der Inhaberin gedeckt, dann wäre das für uns eine völlig neue Lage. Wir haben die Ware geliefert, die Werkstatt hat sie angenommen. Wir bestehen auf Zahlung."</w:t>
      </w:r>
    </w:p>
    <w:p>
      <w:pPr>
        <w:pStyle w:val="Heading2"/>
      </w:pPr>
      <w:r>
        <w:rPr>
          <w:rFonts w:ascii="Times New Roman" w:hAnsi="Times New Roman"/>
        </w:rPr>
        <w:t>Kanzleivermerk</w:t>
      </w:r>
    </w:p>
    <w:p>
      <w:pPr>
        <w:pStyle w:val="ListNumber"/>
      </w:pPr>
      <w:r>
        <w:t xml:space="preserve">Wendelbert Eisenhut jun. hat im Gespräch zugegeben, von einer 8.000-EUR-Grenze "gehört" zu haben. Das ist nicht ausreichend, um eine </w:t>
      </w:r>
      <w:r>
        <w:rPr>
          <w:b/>
        </w:rPr>
        <w:t>Evidenz</w:t>
      </w:r>
      <w:r>
        <w:t xml:space="preserve"> der Innenbeschränkung im Sinne der Rechtsprechung zur Missbrauchskontrolle zu begründen. Eine Evidenz setzt nähere Umstände voraus, etwa eine Mitteilung der Grenze an den Vertragspartner, oder eine objektiv erkennbare Ungewöhnlichkeit der Bestellung.</w:t>
      </w:r>
    </w:p>
    <w:p>
      <w:pPr>
        <w:pStyle w:val="ListNumber"/>
      </w:pPr>
      <w:r>
        <w:t>Bestellungen über 8.000 EUR sind "im Mittel zwei pro Jahr" bei der Werkstatt vorgekommen. Damit ist der Betrag 12.460 EUR nicht aussergewoehnlich.</w:t>
      </w:r>
    </w:p>
    <w:p>
      <w:pPr>
        <w:pStyle w:val="ListNumber"/>
      </w:pPr>
      <w:r>
        <w:t>Argumentation Missbrauch der Vertretungsmacht ist daher schwach. Erfolgsaussicht eher gering.</w:t>
      </w:r>
    </w:p>
    <w:p>
      <w:pPr>
        <w:pStyle w:val="ListNumber"/>
      </w:pPr>
      <w:r>
        <w:t>Die Bestellung 15.04.2026 13:08 Uhr führt zu einem wirksamen Vertrag. Die Werkstatt ist zur Zahlung verpflichtet. Die handschriftliche Ergänzung Hildebrands vom 15.04.2026 ("Pressezubehör dringend, K. im Termin, später erklären.") wirkt nicht im Aussenverhaeltnis.</w:t>
      </w:r>
    </w:p>
    <w:p>
      <w:pPr>
        <w:pStyle w:val="ListNumber"/>
      </w:pPr>
      <w:r>
        <w:t>Innenverhältnis: Hildebrand hat eine arbeitsrechtliche Pflichtverletzung begangen. Die Werkstatt kann gegen ihn Regressanspruch (§ 280 Abs. 1 BGB i.V.m. § 619a BGB analog) erwägen, mit Mitverschuldensabwaegung (§ 254 BGB analog).</w:t>
      </w:r>
    </w:p>
    <w:p>
      <w:pPr>
        <w:pStyle w:val="ListNumber"/>
      </w:pPr>
      <w:r>
        <w:t>Kommerziell: Es ist sinnvoll, die Bestellung zu bezahlen, weil das Pressezubehör ohnehin benötigt wird, sobald die Praegepresse geliefert ist. Sollte die Praegepresse nicht kommen (Vertrag Adelheid scheitert), bleibt die Frage, ob das Zubehör zurückgegeben oder eingelagert wird.</w:t>
      </w:r>
    </w:p>
    <w:p>
      <w:pPr>
        <w:pStyle w:val="Heading2"/>
      </w:pPr>
      <w:r>
        <w:rPr>
          <w:rFonts w:ascii="Times New Roman" w:hAnsi="Times New Roman"/>
        </w:rPr>
        <w:t>Nächster Schritt</w:t>
      </w:r>
    </w:p>
    <w:p>
      <w:pPr>
        <w:pStyle w:val="ListBullet"/>
      </w:pPr>
      <w:r>
        <w:t>Telefonat Wendelbert Eisenhut jun.: Stundung bis 30.06.2026 (Klärung Adelheid-Vertrag). Wendelbert Junior hat im Telefonat vom 24.04.2026 Stundung in Aussicht gestellt, wenn 30% der Rechnung als Anzahlung gezahlt werden.</w:t>
      </w:r>
    </w:p>
    <w:p>
      <w:pPr>
        <w:pStyle w:val="ListBullet"/>
      </w:pPr>
      <w:r>
        <w:t>Aufnahme der Bestellung in den Anspruchsmonitor.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