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AKTENAUSZUG UND QUELLENVERMERK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7.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26-ERB-209 / Adoption</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Miriam Bachmann</w:t>
            </w:r>
          </w:p>
        </w:tc>
      </w:tr>
    </w:tbl>
    <w:p/>
    <w:p>
      <w:pPr>
        <w:pStyle w:val="Title"/>
      </w:pPr>
      <w:r>
        <w:rPr>
          <w:rFonts w:ascii="Arial" w:hAnsi="Arial" w:eastAsia="Arial"/>
          <w:b/>
          <w:color w:val="173941"/>
          <w:sz w:val="34"/>
        </w:rPr>
        <w:t>Beziehungsdarstellung aus der beigezogenen Familiengerichtsakte</w:t>
      </w:r>
    </w:p>
    <w:p>
      <w:pPr>
        <w:pStyle w:val="Heading1"/>
      </w:pPr>
      <w:r>
        <w:t>1. Gemeinsamer Lebensweg</w:t>
      </w:r>
    </w:p>
    <w:p>
      <w:pPr>
        <w:jc w:val="both"/>
      </w:pPr>
      <w:r>
        <w:rPr>
          <w:rFonts w:ascii="Arial" w:hAnsi="Arial" w:eastAsia="Arial"/>
          <w:b w:val="0"/>
          <w:sz w:val="21"/>
        </w:rPr>
        <w:t>Jonas Mielke absolvierte 2006 ein Schulpraktikum und anschließend seine Ausbildung im Unternehmen. Nach einem dualen Studium ab 2012 übernahm er technische Projektverantwortung. Nach dem Tod seiner Mutter im Jahr 2012 bezog Ralf Sander ihn verstärkt in Familienfeiern und private Entscheidungen ein.</w:t>
      </w:r>
    </w:p>
    <w:p>
      <w:pPr>
        <w:pStyle w:val="Heading1"/>
      </w:pPr>
      <w:r>
        <w:t>2. Gegenseitige Unterstützung</w:t>
      </w:r>
    </w:p>
    <w:p>
      <w:pPr>
        <w:jc w:val="both"/>
      </w:pPr>
      <w:r>
        <w:rPr>
          <w:rFonts w:ascii="Arial" w:hAnsi="Arial" w:eastAsia="Arial"/>
          <w:b w:val="0"/>
          <w:sz w:val="21"/>
        </w:rPr>
        <w:t>Nach Ralf Sanders Herzoperation 2018 organisierte Jonas Arztfahrten und Einkäufe. Seit 2016 bestanden wechselseitige Vorsorgevollmachten für medizinische Notfälle. Jonas wurde 2019 Prokurist, 2023 Geschäftsführer und mit 14 Prozent Gesellschafter. In der Anhörung erklärten beide, persönliche und betriebliche Beziehung seien über Jahre parallel gewachsen.</w:t>
      </w:r>
    </w:p>
    <w:p>
      <w:pPr>
        <w:pStyle w:val="Heading1"/>
      </w:pPr>
      <w:r>
        <w:t>3. Leibliche Familie</w:t>
      </w:r>
    </w:p>
    <w:p>
      <w:pPr>
        <w:jc w:val="both"/>
      </w:pPr>
      <w:r>
        <w:rPr>
          <w:rFonts w:ascii="Arial" w:hAnsi="Arial" w:eastAsia="Arial"/>
          <w:b w:val="0"/>
          <w:sz w:val="21"/>
        </w:rPr>
        <w:t>Zum leiblichen Vater Uwe Mielke bestand seit 2009 nur sporadischer Kontakt. Nele und Peer Sander waren nicht förmlich beteiligt. Die beigezogene Akte enthält keine Zustellungs- oder Benachrichtigungsnachweise an sie. Dieser fehlende Aktennachweis wird von einer Aussage über ihre tatsächliche Kenntnis getrennt.</w:t>
      </w:r>
    </w:p>
    <w:p>
      <w:pPr>
        <w:pStyle w:val="Heading1"/>
      </w:pPr>
      <w:r>
        <w:t>4. Quellen</w:t>
      </w:r>
    </w:p>
    <w:tbl>
      <w:tblPr>
        <w:tblStyle w:val="TableGrid"/>
        <w:tblW w:type="auto" w:w="0"/>
        <w:jc w:val="center"/>
        <w:tblLayout w:type="fixed"/>
        <w:tblLook w:firstColumn="1" w:firstRow="1" w:lastColumn="0" w:lastRow="0" w:noHBand="0" w:noVBand="1" w:val="04A0"/>
      </w:tblPr>
      <w:tblGrid>
        <w:gridCol w:w="3147"/>
        <w:gridCol w:w="3147"/>
        <w:gridCol w:w="3147"/>
      </w:tblGrid>
      <w:tr>
        <w:trPr>
          <w:tblHeader w:val="true"/>
        </w:trPr>
        <w:tc>
          <w:tcPr>
            <w:tcW w:type="dxa" w:w="3005"/>
            <w:shd w:fill="E7EFF1"/>
            <w:vAlign w:val="center"/>
          </w:tcPr>
          <w:p>
            <w:r>
              <w:rPr>
                <w:rFonts w:ascii="Arial" w:hAnsi="Arial" w:eastAsia="Arial"/>
                <w:b/>
                <w:color w:val="173941"/>
                <w:sz w:val="17"/>
              </w:rPr>
              <w:t>Quelle</w:t>
            </w:r>
          </w:p>
        </w:tc>
        <w:tc>
          <w:tcPr>
            <w:tcW w:type="dxa" w:w="1701"/>
            <w:shd w:fill="E7EFF1"/>
            <w:vAlign w:val="center"/>
          </w:tcPr>
          <w:p>
            <w:r>
              <w:rPr>
                <w:rFonts w:ascii="Arial" w:hAnsi="Arial" w:eastAsia="Arial"/>
                <w:b/>
                <w:color w:val="173941"/>
                <w:sz w:val="17"/>
              </w:rPr>
              <w:t>Datum</w:t>
            </w:r>
          </w:p>
        </w:tc>
        <w:tc>
          <w:tcPr>
            <w:tcW w:type="dxa" w:w="5159"/>
            <w:shd w:fill="E7EFF1"/>
            <w:vAlign w:val="center"/>
          </w:tcPr>
          <w:p>
            <w:r>
              <w:rPr>
                <w:rFonts w:ascii="Arial" w:hAnsi="Arial" w:eastAsia="Arial"/>
                <w:b/>
                <w:color w:val="173941"/>
                <w:sz w:val="17"/>
              </w:rPr>
              <w:t>Aussage</w:t>
            </w:r>
          </w:p>
        </w:tc>
      </w:tr>
      <w:tr>
        <w:tc>
          <w:tcPr>
            <w:tcW w:type="dxa" w:w="3005"/>
            <w:vAlign w:val="top"/>
          </w:tcPr>
          <w:p>
            <w:r>
              <w:rPr>
                <w:rFonts w:ascii="Arial" w:hAnsi="Arial" w:eastAsia="Arial"/>
                <w:b w:val="0"/>
                <w:sz w:val="16"/>
              </w:rPr>
              <w:t>Antrag der Beteiligten</w:t>
            </w:r>
          </w:p>
        </w:tc>
        <w:tc>
          <w:tcPr>
            <w:tcW w:type="dxa" w:w="1701"/>
            <w:vAlign w:val="top"/>
          </w:tcPr>
          <w:p>
            <w:r>
              <w:rPr>
                <w:rFonts w:ascii="Arial" w:hAnsi="Arial" w:eastAsia="Arial"/>
                <w:b w:val="0"/>
                <w:sz w:val="16"/>
              </w:rPr>
              <w:t>14.08.2024</w:t>
            </w:r>
          </w:p>
        </w:tc>
        <w:tc>
          <w:tcPr>
            <w:tcW w:type="dxa" w:w="5159"/>
            <w:vAlign w:val="top"/>
          </w:tcPr>
          <w:p>
            <w:r>
              <w:rPr>
                <w:rFonts w:ascii="Arial" w:hAnsi="Arial" w:eastAsia="Arial"/>
                <w:b w:val="0"/>
                <w:sz w:val="16"/>
              </w:rPr>
              <w:t>persönliche Beziehung und Namenswunsch</w:t>
            </w:r>
          </w:p>
        </w:tc>
      </w:tr>
      <w:tr>
        <w:tc>
          <w:tcPr>
            <w:tcW w:type="dxa" w:w="3005"/>
            <w:vAlign w:val="top"/>
          </w:tcPr>
          <w:p>
            <w:r>
              <w:rPr>
                <w:rFonts w:ascii="Arial" w:hAnsi="Arial" w:eastAsia="Arial"/>
                <w:b w:val="0"/>
                <w:sz w:val="16"/>
              </w:rPr>
              <w:t>Anhörungsprotokoll</w:t>
            </w:r>
          </w:p>
        </w:tc>
        <w:tc>
          <w:tcPr>
            <w:tcW w:type="dxa" w:w="1701"/>
            <w:vAlign w:val="top"/>
          </w:tcPr>
          <w:p>
            <w:r>
              <w:rPr>
                <w:rFonts w:ascii="Arial" w:hAnsi="Arial" w:eastAsia="Arial"/>
                <w:b w:val="0"/>
                <w:sz w:val="16"/>
              </w:rPr>
              <w:t>29.11.2024</w:t>
            </w:r>
          </w:p>
        </w:tc>
        <w:tc>
          <w:tcPr>
            <w:tcW w:type="dxa" w:w="5159"/>
            <w:vAlign w:val="top"/>
          </w:tcPr>
          <w:p>
            <w:r>
              <w:rPr>
                <w:rFonts w:ascii="Arial" w:hAnsi="Arial" w:eastAsia="Arial"/>
                <w:b w:val="0"/>
                <w:sz w:val="16"/>
              </w:rPr>
              <w:t>Gesundheit, Feiertage, Nachfolge</w:t>
            </w:r>
          </w:p>
        </w:tc>
      </w:tr>
      <w:tr>
        <w:tc>
          <w:tcPr>
            <w:tcW w:type="dxa" w:w="3005"/>
            <w:vAlign w:val="top"/>
          </w:tcPr>
          <w:p>
            <w:r>
              <w:rPr>
                <w:rFonts w:ascii="Arial" w:hAnsi="Arial" w:eastAsia="Arial"/>
                <w:b w:val="0"/>
                <w:sz w:val="16"/>
              </w:rPr>
              <w:t>Vorsorgevollmachten</w:t>
            </w:r>
          </w:p>
        </w:tc>
        <w:tc>
          <w:tcPr>
            <w:tcW w:type="dxa" w:w="1701"/>
            <w:vAlign w:val="top"/>
          </w:tcPr>
          <w:p>
            <w:r>
              <w:rPr>
                <w:rFonts w:ascii="Arial" w:hAnsi="Arial" w:eastAsia="Arial"/>
                <w:b w:val="0"/>
                <w:sz w:val="16"/>
              </w:rPr>
              <w:t>12.04.2016</w:t>
            </w:r>
          </w:p>
        </w:tc>
        <w:tc>
          <w:tcPr>
            <w:tcW w:type="dxa" w:w="5159"/>
            <w:vAlign w:val="top"/>
          </w:tcPr>
          <w:p>
            <w:r>
              <w:rPr>
                <w:rFonts w:ascii="Arial" w:hAnsi="Arial" w:eastAsia="Arial"/>
                <w:b w:val="0"/>
                <w:sz w:val="16"/>
              </w:rPr>
              <w:t>gegenseitige medizinische Unterstützung</w:t>
            </w:r>
          </w:p>
        </w:tc>
      </w:tr>
      <w:tr>
        <w:tc>
          <w:tcPr>
            <w:tcW w:type="dxa" w:w="3005"/>
            <w:vAlign w:val="top"/>
          </w:tcPr>
          <w:p>
            <w:r>
              <w:rPr>
                <w:rFonts w:ascii="Arial" w:hAnsi="Arial" w:eastAsia="Arial"/>
                <w:b w:val="0"/>
                <w:sz w:val="16"/>
              </w:rPr>
              <w:t>Handelsregister</w:t>
            </w:r>
          </w:p>
        </w:tc>
        <w:tc>
          <w:tcPr>
            <w:tcW w:type="dxa" w:w="1701"/>
            <w:vAlign w:val="top"/>
          </w:tcPr>
          <w:p>
            <w:r>
              <w:rPr>
                <w:rFonts w:ascii="Arial" w:hAnsi="Arial" w:eastAsia="Arial"/>
                <w:b w:val="0"/>
                <w:sz w:val="16"/>
              </w:rPr>
              <w:t>2023</w:t>
            </w:r>
          </w:p>
        </w:tc>
        <w:tc>
          <w:tcPr>
            <w:tcW w:type="dxa" w:w="5159"/>
            <w:vAlign w:val="top"/>
          </w:tcPr>
          <w:p>
            <w:r>
              <w:rPr>
                <w:rFonts w:ascii="Arial" w:hAnsi="Arial" w:eastAsia="Arial"/>
                <w:b w:val="0"/>
                <w:sz w:val="16"/>
              </w:rPr>
              <w:t>Geschäftsführung und Beteiligung</w:t>
            </w:r>
          </w:p>
        </w:tc>
      </w:tr>
    </w:tbl>
    <w:p/>
    <w:p>
      <w:pPr>
        <w:spacing w:before="280"/>
      </w:pPr>
      <w:r>
        <w:rPr>
          <w:rFonts w:ascii="Arial" w:hAnsi="Arial" w:eastAsia="Arial"/>
          <w:b/>
          <w:sz w:val="21"/>
        </w:rPr>
        <w:t>Dr. Miriam Bachmann</w:t>
      </w:r>
    </w:p>
    <w:p>
      <w:pPr>
        <w:spacing w:after="0"/>
      </w:pPr>
      <w:r>
        <w:rPr>
          <w:rFonts w:ascii="Arial" w:hAnsi="Arial" w:eastAsia="Arial"/>
          <w:b w:val="0"/>
          <w:color w:val="5C6569"/>
          <w:sz w:val="18"/>
        </w:rPr>
        <w:t>Rechtsanwältin · Quellenaufnahme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Nachlass Ralf Sander · Quellenblatt Adoption</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Bachmann</w:t>
    </w:r>
  </w:p>
  <w:p>
    <w:pPr>
      <w:spacing w:after="0"/>
    </w:pPr>
    <w:r>
      <w:rPr>
        <w:rFonts w:ascii="Arial" w:hAnsi="Arial" w:eastAsia="Arial"/>
        <w:b w:val="0"/>
        <w:color w:val="5C6569"/>
        <w:sz w:val="14"/>
      </w:rPr>
      <w:t>Anger 61 · 99084 Erfurt</w:t>
    </w:r>
  </w:p>
  <w:p>
    <w:pPr>
      <w:spacing w:after="0"/>
    </w:pPr>
    <w:r>
      <w:rPr>
        <w:rFonts w:ascii="Arial" w:hAnsi="Arial" w:eastAsia="Arial"/>
        <w:b w:val="0"/>
        <w:color w:val="5C6569"/>
        <w:sz w:val="14"/>
      </w:rPr>
      <w:t>Telefon 0361 55027-0 · Telefax 0361 55027-18 · post@kanzlei-bachmann.de</w:t>
    </w:r>
  </w:p>
  <w:p>
    <w:pPr>
      <w:spacing w:after="0"/>
    </w:pPr>
    <w:r>
      <w:rPr>
        <w:rFonts w:ascii="Arial" w:hAnsi="Arial" w:eastAsia="Arial"/>
        <w:b w:val="0"/>
        <w:color w:val="5C6569"/>
        <w:sz w:val="14"/>
      </w:rPr>
      <w:t>Rechtsanwältin Dr. Miriam Bachmann · Fachanwältin für Erbrecht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Beziehungsdarstellung aus der beigezogenen Familiengerichtsakte</dc:title>
  <dc:subject>26-ERB-209 / Adoption</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