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BETRIEBSWIRTSCHAFTLICHE ÜBERSICHT</w:t>
      </w:r>
    </w:p>
    <w:p>
      <w:pPr>
        <w:spacing w:after="100"/>
      </w:pPr>
      <w:r>
        <w:rPr>
          <w:rFonts w:ascii="Arial" w:hAnsi="Arial" w:eastAsia="Arial"/>
          <w:b w:val="0"/>
          <w:color w:val="5C6569"/>
          <w:sz w:val="14"/>
        </w:rPr>
        <w:t>Steuerkanzlei Hesse und Partner · Regierungsstraße 28 · 99084 Erfurt</w:t>
      </w:r>
    </w:p>
    <w:p>
      <w:pPr>
        <w:spacing w:after="0"/>
      </w:pPr>
      <w:r>
        <w:rPr>
          <w:rFonts w:ascii="Arial" w:hAnsi="Arial" w:eastAsia="Arial"/>
          <w:b w:val="0"/>
          <w:sz w:val="18"/>
        </w:rPr>
        <w:t>Jonas Mielke-Sander</w:t>
      </w:r>
    </w:p>
    <w:p>
      <w:pPr>
        <w:spacing w:after="0"/>
      </w:pPr>
      <w:r>
        <w:rPr>
          <w:rFonts w:ascii="Arial" w:hAnsi="Arial" w:eastAsia="Arial"/>
          <w:b w:val="0"/>
          <w:sz w:val="18"/>
        </w:rPr>
        <w:t>Sander Präzisionsteile GmbH</w:t>
      </w:r>
    </w:p>
    <w:p>
      <w:pPr>
        <w:spacing w:after="0"/>
      </w:pPr>
      <w:r>
        <w:rPr>
          <w:rFonts w:ascii="Arial" w:hAnsi="Arial" w:eastAsia="Arial"/>
          <w:b w:val="0"/>
          <w:sz w:val="18"/>
        </w:rPr>
        <w:t>Am Roten Berg 14</w:t>
      </w:r>
    </w:p>
    <w:p>
      <w:pPr>
        <w:spacing w:after="0"/>
      </w:pPr>
      <w:r>
        <w:rPr>
          <w:rFonts w:ascii="Arial" w:hAnsi="Arial" w:eastAsia="Arial"/>
          <w:b w:val="0"/>
          <w:sz w:val="18"/>
        </w:rPr>
        <w:t>99086 Erfurt</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17. Juni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SH-26-117 / Nachfolge</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Jens Hesse</w:t>
            </w:r>
          </w:p>
        </w:tc>
      </w:tr>
    </w:tbl>
    <w:p/>
    <w:p>
      <w:pPr>
        <w:pStyle w:val="Title"/>
      </w:pPr>
      <w:r>
        <w:rPr>
          <w:rFonts w:ascii="Arial" w:hAnsi="Arial" w:eastAsia="Arial"/>
          <w:b/>
          <w:color w:val="173941"/>
          <w:sz w:val="34"/>
        </w:rPr>
        <w:t>Unternehmenszahlen und offene Gesellschafterpositionen</w:t>
      </w:r>
    </w:p>
    <w:p>
      <w:pPr>
        <w:jc w:val="both"/>
      </w:pPr>
      <w:r>
        <w:rPr>
          <w:rFonts w:ascii="Arial" w:hAnsi="Arial" w:eastAsia="Arial"/>
          <w:b w:val="0"/>
          <w:sz w:val="21"/>
        </w:rPr>
        <w:t>Sehr geehrter Herr Mielke-Sander,</w:t>
      </w:r>
    </w:p>
    <w:p>
      <w:pPr>
        <w:pStyle w:val="Heading1"/>
      </w:pPr>
      <w:r>
        <w:t>1. Ergebnisentwicklung</w:t>
      </w:r>
    </w:p>
    <w:tbl>
      <w:tblPr>
        <w:tblStyle w:val="TableGrid"/>
        <w:tblW w:type="auto" w:w="0"/>
        <w:jc w:val="center"/>
        <w:tblLayout w:type="fixed"/>
        <w:tblLook w:firstColumn="1" w:firstRow="1" w:lastColumn="0" w:lastRow="0" w:noHBand="0" w:noVBand="1" w:val="04A0"/>
      </w:tblPr>
      <w:tblGrid>
        <w:gridCol w:w="2360"/>
        <w:gridCol w:w="2360"/>
        <w:gridCol w:w="2360"/>
        <w:gridCol w:w="2360"/>
      </w:tblGrid>
      <w:tr>
        <w:trPr>
          <w:tblHeader w:val="true"/>
        </w:trPr>
        <w:tc>
          <w:tcPr>
            <w:tcW w:type="dxa" w:w="1247"/>
            <w:shd w:fill="E7EFF1"/>
            <w:vAlign w:val="center"/>
          </w:tcPr>
          <w:p>
            <w:r>
              <w:rPr>
                <w:rFonts w:ascii="Arial" w:hAnsi="Arial" w:eastAsia="Arial"/>
                <w:b/>
                <w:color w:val="173941"/>
                <w:sz w:val="17"/>
              </w:rPr>
              <w:t>Jahr</w:t>
            </w:r>
          </w:p>
        </w:tc>
        <w:tc>
          <w:tcPr>
            <w:tcW w:type="dxa" w:w="2098"/>
            <w:shd w:fill="E7EFF1"/>
            <w:vAlign w:val="center"/>
          </w:tcPr>
          <w:p>
            <w:r>
              <w:rPr>
                <w:rFonts w:ascii="Arial" w:hAnsi="Arial" w:eastAsia="Arial"/>
                <w:b/>
                <w:color w:val="173941"/>
                <w:sz w:val="17"/>
              </w:rPr>
              <w:t>Umsatz</w:t>
            </w:r>
          </w:p>
        </w:tc>
        <w:tc>
          <w:tcPr>
            <w:tcW w:type="dxa" w:w="2098"/>
            <w:shd w:fill="E7EFF1"/>
            <w:vAlign w:val="center"/>
          </w:tcPr>
          <w:p>
            <w:r>
              <w:rPr>
                <w:rFonts w:ascii="Arial" w:hAnsi="Arial" w:eastAsia="Arial"/>
                <w:b/>
                <w:color w:val="173941"/>
                <w:sz w:val="17"/>
              </w:rPr>
              <w:t>EBITDA</w:t>
            </w:r>
          </w:p>
        </w:tc>
        <w:tc>
          <w:tcPr>
            <w:tcW w:type="dxa" w:w="4989"/>
            <w:shd w:fill="E7EFF1"/>
            <w:vAlign w:val="center"/>
          </w:tcPr>
          <w:p>
            <w:r>
              <w:rPr>
                <w:rFonts w:ascii="Arial" w:hAnsi="Arial" w:eastAsia="Arial"/>
                <w:b/>
                <w:color w:val="173941"/>
                <w:sz w:val="17"/>
              </w:rPr>
              <w:t>Besonderheit</w:t>
            </w:r>
          </w:p>
        </w:tc>
      </w:tr>
      <w:tr>
        <w:tc>
          <w:tcPr>
            <w:tcW w:type="dxa" w:w="1247"/>
            <w:vAlign w:val="top"/>
          </w:tcPr>
          <w:p>
            <w:r>
              <w:rPr>
                <w:rFonts w:ascii="Arial" w:hAnsi="Arial" w:eastAsia="Arial"/>
                <w:b w:val="0"/>
                <w:sz w:val="16"/>
              </w:rPr>
              <w:t>2023</w:t>
            </w:r>
          </w:p>
        </w:tc>
        <w:tc>
          <w:tcPr>
            <w:tcW w:type="dxa" w:w="2098"/>
            <w:vAlign w:val="top"/>
          </w:tcPr>
          <w:p>
            <w:r>
              <w:rPr>
                <w:rFonts w:ascii="Arial" w:hAnsi="Arial" w:eastAsia="Arial"/>
                <w:b w:val="0"/>
                <w:sz w:val="16"/>
              </w:rPr>
              <w:t>8800000 EUR</w:t>
            </w:r>
          </w:p>
        </w:tc>
        <w:tc>
          <w:tcPr>
            <w:tcW w:type="dxa" w:w="2098"/>
            <w:vAlign w:val="top"/>
          </w:tcPr>
          <w:p>
            <w:r>
              <w:rPr>
                <w:rFonts w:ascii="Arial" w:hAnsi="Arial" w:eastAsia="Arial"/>
                <w:b w:val="0"/>
                <w:sz w:val="16"/>
              </w:rPr>
              <w:t>1120000 EUR</w:t>
            </w:r>
          </w:p>
        </w:tc>
        <w:tc>
          <w:tcPr>
            <w:tcW w:type="dxa" w:w="4989"/>
            <w:vAlign w:val="top"/>
          </w:tcPr>
          <w:p>
            <w:r>
              <w:rPr>
                <w:rFonts w:ascii="Arial" w:hAnsi="Arial" w:eastAsia="Arial"/>
                <w:b w:val="0"/>
                <w:sz w:val="16"/>
              </w:rPr>
              <w:t>hoher Anteil Großkunde Jenoptik</w:t>
            </w:r>
          </w:p>
        </w:tc>
      </w:tr>
      <w:tr>
        <w:tc>
          <w:tcPr>
            <w:tcW w:type="dxa" w:w="1247"/>
            <w:vAlign w:val="top"/>
          </w:tcPr>
          <w:p>
            <w:r>
              <w:rPr>
                <w:rFonts w:ascii="Arial" w:hAnsi="Arial" w:eastAsia="Arial"/>
                <w:b w:val="0"/>
                <w:sz w:val="16"/>
              </w:rPr>
              <w:t>2024</w:t>
            </w:r>
          </w:p>
        </w:tc>
        <w:tc>
          <w:tcPr>
            <w:tcW w:type="dxa" w:w="2098"/>
            <w:vAlign w:val="top"/>
          </w:tcPr>
          <w:p>
            <w:r>
              <w:rPr>
                <w:rFonts w:ascii="Arial" w:hAnsi="Arial" w:eastAsia="Arial"/>
                <w:b w:val="0"/>
                <w:sz w:val="16"/>
              </w:rPr>
              <w:t>9400000 EUR</w:t>
            </w:r>
          </w:p>
        </w:tc>
        <w:tc>
          <w:tcPr>
            <w:tcW w:type="dxa" w:w="2098"/>
            <w:vAlign w:val="top"/>
          </w:tcPr>
          <w:p>
            <w:r>
              <w:rPr>
                <w:rFonts w:ascii="Arial" w:hAnsi="Arial" w:eastAsia="Arial"/>
                <w:b w:val="0"/>
                <w:sz w:val="16"/>
              </w:rPr>
              <w:t>1310000 EUR</w:t>
            </w:r>
          </w:p>
        </w:tc>
        <w:tc>
          <w:tcPr>
            <w:tcW w:type="dxa" w:w="4989"/>
            <w:vAlign w:val="top"/>
          </w:tcPr>
          <w:p>
            <w:r>
              <w:rPr>
                <w:rFonts w:ascii="Arial" w:hAnsi="Arial" w:eastAsia="Arial"/>
                <w:b w:val="0"/>
                <w:sz w:val="16"/>
              </w:rPr>
              <w:t>Inbetriebnahme neue Fräslinie</w:t>
            </w:r>
          </w:p>
        </w:tc>
      </w:tr>
      <w:tr>
        <w:tc>
          <w:tcPr>
            <w:tcW w:type="dxa" w:w="1247"/>
            <w:vAlign w:val="top"/>
          </w:tcPr>
          <w:p>
            <w:r>
              <w:rPr>
                <w:rFonts w:ascii="Arial" w:hAnsi="Arial" w:eastAsia="Arial"/>
                <w:b w:val="0"/>
                <w:sz w:val="16"/>
              </w:rPr>
              <w:t>2025</w:t>
            </w:r>
          </w:p>
        </w:tc>
        <w:tc>
          <w:tcPr>
            <w:tcW w:type="dxa" w:w="2098"/>
            <w:vAlign w:val="top"/>
          </w:tcPr>
          <w:p>
            <w:r>
              <w:rPr>
                <w:rFonts w:ascii="Arial" w:hAnsi="Arial" w:eastAsia="Arial"/>
                <w:b w:val="0"/>
                <w:sz w:val="16"/>
              </w:rPr>
              <w:t>8100000 EUR</w:t>
            </w:r>
          </w:p>
        </w:tc>
        <w:tc>
          <w:tcPr>
            <w:tcW w:type="dxa" w:w="2098"/>
            <w:vAlign w:val="top"/>
          </w:tcPr>
          <w:p>
            <w:r>
              <w:rPr>
                <w:rFonts w:ascii="Arial" w:hAnsi="Arial" w:eastAsia="Arial"/>
                <w:b w:val="0"/>
                <w:sz w:val="16"/>
              </w:rPr>
              <w:t>790000 EUR</w:t>
            </w:r>
          </w:p>
        </w:tc>
        <w:tc>
          <w:tcPr>
            <w:tcW w:type="dxa" w:w="4989"/>
            <w:vAlign w:val="top"/>
          </w:tcPr>
          <w:p>
            <w:r>
              <w:rPr>
                <w:rFonts w:ascii="Arial" w:hAnsi="Arial" w:eastAsia="Arial"/>
                <w:b w:val="0"/>
                <w:sz w:val="16"/>
              </w:rPr>
              <w:t>krankheitsbedingte Ausfälle und Investitionsstau</w:t>
            </w:r>
          </w:p>
        </w:tc>
      </w:tr>
    </w:tbl>
    <w:p/>
    <w:p>
      <w:pPr>
        <w:pStyle w:val="Heading1"/>
      </w:pPr>
      <w:r>
        <w:t>2. Offene Positionen</w:t>
      </w:r>
    </w:p>
    <w:p>
      <w:pPr>
        <w:jc w:val="both"/>
      </w:pPr>
      <w:r>
        <w:rPr>
          <w:rFonts w:ascii="Arial" w:hAnsi="Arial" w:eastAsia="Arial"/>
          <w:b w:val="0"/>
          <w:sz w:val="21"/>
        </w:rPr>
        <w:t>Aus dem Anteilserwerb 2023 besteht nach Buchhaltung eine offene Kaufpreisforderung gegen Jonas Mielke-Sander von 48000,00 EUR. Die Gesellschafterversammlung beschloss am 15. April 2026 eine Ausschüttung für 2025; der auf Ralf Sander entfallende Betrag von 154800,00 EUR war zum Todestag noch nicht ausgezahlt.</w:t>
      </w:r>
    </w:p>
    <w:p>
      <w:pPr>
        <w:pStyle w:val="Heading1"/>
      </w:pPr>
      <w:r>
        <w:t>3. Wertangaben</w:t>
      </w:r>
    </w:p>
    <w:p>
      <w:pPr>
        <w:jc w:val="both"/>
      </w:pPr>
      <w:r>
        <w:rPr>
          <w:rFonts w:ascii="Arial" w:hAnsi="Arial" w:eastAsia="Arial"/>
          <w:b w:val="0"/>
          <w:sz w:val="21"/>
        </w:rPr>
        <w:t>Die von Ihnen vorgelegte Zahl von 2400000,00 EUR für 100 Prozent entspricht einer buchwertnahen Abfindungsbetrachtung. Aus normalisierten Ergebnissen ergibt sich überschlägig eine Ertragswertspanne von 4800000,00 bis 6200000,00 EUR. Kundenabhängigkeit, Investitionsbedarf, Geschäftsführerausfall und nicht betriebsnotwendiges Vermögen sind noch nicht abschließend untersucht.</w:t>
      </w:r>
    </w:p>
    <w:p>
      <w:pPr>
        <w:pStyle w:val="Heading1"/>
      </w:pPr>
      <w:r>
        <w:t>4. Unterlagenbedarf</w:t>
      </w:r>
    </w:p>
    <w:p>
      <w:pPr>
        <w:jc w:val="both"/>
      </w:pPr>
      <w:r>
        <w:rPr>
          <w:rFonts w:ascii="Arial" w:hAnsi="Arial" w:eastAsia="Arial"/>
          <w:b w:val="0"/>
          <w:sz w:val="21"/>
        </w:rPr>
        <w:t>Für eine belastbare Bewertung werden Jahresabschlüsse 2022 bis 2025, Auftragsbestand, Kundenkonzentration, Investitionsplan, Grundstückswerte, Gesellschafterkonten und gesellschaftsvertragliche Abfindungsregel benötigt. Dieses Schreiben ist kein unabhängiges Gutachten.</w:t>
      </w:r>
    </w:p>
    <w:p>
      <w:pPr>
        <w:jc w:val="both"/>
      </w:pPr>
      <w:r>
        <w:rPr>
          <w:rFonts w:ascii="Arial" w:hAnsi="Arial" w:eastAsia="Arial"/>
          <w:b w:val="0"/>
          <w:sz w:val="21"/>
        </w:rPr>
        <w:t>Mit freundlichen Grüßen</w:t>
      </w:r>
    </w:p>
    <w:p>
      <w:pPr>
        <w:spacing w:before="280"/>
      </w:pPr>
      <w:r>
        <w:rPr>
          <w:rFonts w:ascii="Arial" w:hAnsi="Arial" w:eastAsia="Arial"/>
          <w:b/>
          <w:sz w:val="21"/>
        </w:rPr>
        <w:t>Jens Hesse</w:t>
      </w:r>
    </w:p>
    <w:p>
      <w:pPr>
        <w:spacing w:after="0"/>
      </w:pPr>
      <w:r>
        <w:rPr>
          <w:rFonts w:ascii="Arial" w:hAnsi="Arial" w:eastAsia="Arial"/>
          <w:b w:val="0"/>
          <w:color w:val="5C6569"/>
          <w:sz w:val="18"/>
        </w:rPr>
        <w:t>Steuerberater</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Arbeitspapier SH-26-117 · nicht testiert</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Steuerkanzlei Hesse und Partner</w:t>
    </w:r>
  </w:p>
  <w:p>
    <w:pPr>
      <w:spacing w:after="0"/>
    </w:pPr>
    <w:r>
      <w:rPr>
        <w:rFonts w:ascii="Arial" w:hAnsi="Arial" w:eastAsia="Arial"/>
        <w:b w:val="0"/>
        <w:color w:val="5C6569"/>
        <w:sz w:val="14"/>
      </w:rPr>
      <w:t>Regierungsstraße 28 · 99084 Erfurt</w:t>
    </w:r>
  </w:p>
  <w:p>
    <w:pPr>
      <w:spacing w:after="0"/>
    </w:pPr>
    <w:r>
      <w:rPr>
        <w:rFonts w:ascii="Arial" w:hAnsi="Arial" w:eastAsia="Arial"/>
        <w:b w:val="0"/>
        <w:color w:val="5C6569"/>
        <w:sz w:val="14"/>
      </w:rPr>
      <w:t>Telefon 0361 66340-0 · Telefax 0361 66340-29 · post@steuerkanzlei-hesse.de</w:t>
    </w:r>
  </w:p>
  <w:p>
    <w:pPr>
      <w:spacing w:after="0"/>
    </w:pPr>
    <w:r>
      <w:rPr>
        <w:rFonts w:ascii="Arial" w:hAnsi="Arial" w:eastAsia="Arial"/>
        <w:b w:val="0"/>
        <w:color w:val="5C6569"/>
        <w:sz w:val="14"/>
      </w:rPr>
      <w:t>Steuerberater Jens Hesse · Mandat Sander Präzisionsteile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Unternehmenszahlen und offene Gesellschafterpositionen</dc:title>
  <dc:subject>SH-26-117 / Nachfolge</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