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Knusperkrone Franchise GmbH</w:t>
            </w:r>
          </w:p>
          <w:p>
            <w:pPr>
              <w:spacing w:after="0"/>
            </w:pPr>
            <w:r>
              <w:rPr>
                <w:rFonts w:ascii="Arial" w:hAnsi="Arial"/>
                <w:b w:val="0"/>
                <w:i w:val="0"/>
                <w:color w:val="58626C"/>
                <w:sz w:val="17"/>
              </w:rPr>
              <w:t>Handelshof 18 · 48155 Münster</w:t>
            </w:r>
          </w:p>
          <w:p>
            <w:pPr>
              <w:spacing w:after="0"/>
            </w:pPr>
            <w:r>
              <w:rPr>
                <w:rFonts w:ascii="Arial" w:hAnsi="Arial"/>
                <w:b w:val="0"/>
                <w:i w:val="0"/>
                <w:color w:val="58626C"/>
                <w:sz w:val="17"/>
              </w:rPr>
              <w:t>Telefon 0251 987640 · zentrale@knusperkrone.de</w:t>
            </w:r>
          </w:p>
          <w:p>
            <w:pPr>
              <w:spacing w:after="0"/>
            </w:pPr>
            <w:r>
              <w:rPr>
                <w:rFonts w:ascii="Arial" w:hAnsi="Arial"/>
                <w:b w:val="0"/>
                <w:i w:val="0"/>
                <w:color w:val="58626C"/>
                <w:sz w:val="17"/>
              </w:rPr>
              <w:t>Geschäftsführung: Dr. Clemens Rabe, Joana Feld</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KK-FR-2022-017</w:t>
            </w:r>
          </w:p>
        </w:tc>
      </w:tr>
    </w:tbl>
    <w:p>
      <w:pPr>
        <w:spacing w:after="20"/>
      </w:pPr>
    </w:p>
    <w:p>
      <w:pPr>
        <w:spacing w:before="160" w:after="180"/>
      </w:pPr>
      <w:r>
        <w:rPr>
          <w:rFonts w:ascii="Arial" w:hAnsi="Arial"/>
          <w:b/>
          <w:i w:val="0"/>
          <w:color w:val="892E2A"/>
          <w:sz w:val="24"/>
        </w:rPr>
        <w:t>Franchisevertrag für den Standort Münster-Süd</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Vertragsnummer</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KK-FR-2022-017</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18. August 2022</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System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Knusperkrone Systemgastronomie</w:t>
            </w:r>
          </w:p>
        </w:tc>
      </w:tr>
    </w:tbl>
    <w:p>
      <w:pPr>
        <w:spacing w:after="0"/>
      </w:pPr>
    </w:p>
    <w:p>
      <w:pPr>
        <w:widowControl/>
      </w:pPr>
      <w:r>
        <w:rPr>
          <w:rFonts w:ascii="Arial" w:hAnsi="Arial"/>
          <w:b w:val="0"/>
          <w:i w:val="0"/>
          <w:color w:val="222E3A"/>
          <w:sz w:val="21"/>
        </w:rPr>
        <w:t>zwischen</w:t>
      </w:r>
    </w:p>
    <w:p>
      <w:pPr>
        <w:widowControl/>
      </w:pPr>
      <w:r>
        <w:rPr>
          <w:rFonts w:ascii="Arial" w:hAnsi="Arial"/>
          <w:b w:val="0"/>
          <w:i w:val="0"/>
          <w:color w:val="222E3A"/>
          <w:sz w:val="21"/>
        </w:rPr>
        <w:t>Knusperkrone Franchise GmbH, Handelshof 18, 48155 Münster, vertreten durch die Geschäftsführer Dr. Clemens Rabe und Joana Feld, nachfolgend Franchisegeberin,</w:t>
      </w:r>
    </w:p>
    <w:p>
      <w:pPr>
        <w:widowControl/>
      </w:pPr>
      <w:r>
        <w:rPr>
          <w:rFonts w:ascii="Arial" w:hAnsi="Arial"/>
          <w:b w:val="0"/>
          <w:i w:val="0"/>
          <w:color w:val="222E3A"/>
          <w:sz w:val="21"/>
        </w:rPr>
        <w:t>und</w:t>
      </w:r>
    </w:p>
    <w:p>
      <w:pPr>
        <w:widowControl/>
      </w:pPr>
      <w:r>
        <w:rPr>
          <w:rFonts w:ascii="Arial" w:hAnsi="Arial"/>
          <w:b w:val="0"/>
          <w:i w:val="0"/>
          <w:color w:val="222E3A"/>
          <w:sz w:val="21"/>
        </w:rPr>
        <w:t>Münster Gastro Karaca e.K., Inhaberin Elif Karaca, Wolbecker Straße 114, 48155 Münster, HRA 11842 des Amtsgerichts Münster, nachfolgend Franchisenehmerin.</w:t>
      </w:r>
    </w:p>
    <w:p>
      <w:pPr>
        <w:pStyle w:val="Heading1"/>
      </w:pPr>
      <w:r>
        <w:t>1. Vertragsgegenstand</w:t>
      </w:r>
    </w:p>
    <w:p>
      <w:pPr>
        <w:widowControl/>
      </w:pPr>
      <w:r>
        <w:rPr>
          <w:rFonts w:ascii="Arial" w:hAnsi="Arial"/>
          <w:b w:val="0"/>
          <w:i w:val="0"/>
          <w:color w:val="222E3A"/>
          <w:sz w:val="21"/>
        </w:rPr>
        <w:t>1.1 Die Franchisegeberin räumt der Franchisenehmerin das Recht ein, am Standort Wolbecker Straße 114 in Münster einen Gastronomiebetrieb unter der Bezeichnung „Knusperkrone Münster-Süd“ nach dem bei Vertragsbeginn geltenden Systemkonzept zu führen.</w:t>
      </w:r>
    </w:p>
    <w:p>
      <w:pPr>
        <w:widowControl/>
      </w:pPr>
      <w:r>
        <w:rPr>
          <w:rFonts w:ascii="Arial" w:hAnsi="Arial"/>
          <w:b w:val="0"/>
          <w:i w:val="0"/>
          <w:color w:val="222E3A"/>
          <w:sz w:val="21"/>
        </w:rPr>
        <w:t>1.2 Zum System gehören insbesondere die Produktrezepturen, das Erscheinungsbild, die Warenwirtschaft, das Kassensystem KronenPOS, die Schulungsunterlagen und das Systemhandbuch. Das Systemhandbuch wird der Franchisenehmerin im Partnerportal in der jeweils freigegebenen Fassung zugänglich gemacht.</w:t>
      </w:r>
    </w:p>
    <w:p>
      <w:pPr>
        <w:widowControl/>
      </w:pPr>
      <w:r>
        <w:rPr>
          <w:rFonts w:ascii="Arial" w:hAnsi="Arial"/>
          <w:b w:val="0"/>
          <w:i w:val="0"/>
          <w:color w:val="222E3A"/>
          <w:sz w:val="21"/>
        </w:rPr>
        <w:t>1.3 Die Nutzung der Wort- und Bildmarke ist auf die Dauer dieses Vertrages und den freigegebenen Standort beschränkt.</w:t>
      </w:r>
    </w:p>
    <w:p>
      <w:pPr>
        <w:pStyle w:val="Heading1"/>
      </w:pPr>
      <w:r>
        <w:t>2. Laufzeit und Betriebsaufnahme</w:t>
      </w:r>
    </w:p>
    <w:p>
      <w:pPr>
        <w:widowControl/>
      </w:pPr>
      <w:r>
        <w:rPr>
          <w:rFonts w:ascii="Arial" w:hAnsi="Arial"/>
          <w:b w:val="0"/>
          <w:i w:val="0"/>
          <w:color w:val="222E3A"/>
          <w:sz w:val="21"/>
        </w:rPr>
        <w:t>2.1 Der Vertrag beginnt mit Unterzeichnung. Die feste Laufzeit endet zehn Jahre nach der für den 15. März 2023 vorgesehenen Betriebsaufnahme, mithin am 14. März 2033.</w:t>
      </w:r>
    </w:p>
    <w:p>
      <w:pPr>
        <w:widowControl/>
      </w:pPr>
      <w:r>
        <w:rPr>
          <w:rFonts w:ascii="Arial" w:hAnsi="Arial"/>
          <w:b w:val="0"/>
          <w:i w:val="0"/>
          <w:color w:val="222E3A"/>
          <w:sz w:val="21"/>
        </w:rPr>
        <w:t>2.2 Verschiebt sich die Betriebsaufnahme um mehr als acht Wochen, stimmen die Parteien einen neuen Eröffnungstermin schriftlich ab. Die feste Laufzeit bleibt davon unberührt, sofern nicht ausdrücklich etwas anderes vereinbart wird.</w:t>
      </w:r>
    </w:p>
    <w:p>
      <w:pPr>
        <w:pStyle w:val="Heading1"/>
      </w:pPr>
      <w:r>
        <w:t>3. Gebiet und weitere Standorte</w:t>
      </w:r>
    </w:p>
    <w:p>
      <w:pPr>
        <w:widowControl/>
      </w:pPr>
      <w:r>
        <w:rPr>
          <w:rFonts w:ascii="Arial" w:hAnsi="Arial"/>
          <w:b w:val="0"/>
          <w:i w:val="0"/>
          <w:color w:val="222E3A"/>
          <w:sz w:val="21"/>
        </w:rPr>
        <w:t>3.1 Das Vertragsgebiet ergibt sich aus der von beiden Parteien unterzeichneten Anlage 2. Die Franchisegeberin wird innerhalb dieses Gebiets während der Vertragslaufzeit weder einen eigenen stationären Knusperkrone-Betrieb eröffnen noch einem weiteren Franchisenehmer einen stationären Standort freigeben.</w:t>
      </w:r>
    </w:p>
    <w:p>
      <w:pPr>
        <w:widowControl/>
      </w:pPr>
      <w:r>
        <w:rPr>
          <w:rFonts w:ascii="Arial" w:hAnsi="Arial"/>
          <w:b w:val="0"/>
          <w:i w:val="0"/>
          <w:color w:val="222E3A"/>
          <w:sz w:val="21"/>
        </w:rPr>
        <w:t>3.2 Lieferungen durch bereits bestehende Betriebe, Umsätze über zentrale Bestellplattformen und zeitlich begrenzte Veranstaltungsstände bleiben zulässig. Eine dauerhafte Abholstation innerhalb des Vertragsgebiets bedarf der vorherigen Abstimmung mit der Franchisenehmerin.</w:t>
      </w:r>
    </w:p>
    <w:p>
      <w:pPr>
        <w:widowControl/>
      </w:pPr>
      <w:r>
        <w:rPr>
          <w:rFonts w:ascii="Arial" w:hAnsi="Arial"/>
          <w:b w:val="0"/>
          <w:i w:val="0"/>
          <w:color w:val="222E3A"/>
          <w:sz w:val="21"/>
        </w:rPr>
        <w:t>3.3 Für Standorte außerhalb des Vertragsgebiets besteht kein Vorrangrecht. Die Franchisegeberin informiert die Franchisenehmerin jedoch vor der Freigabe eines Standorts, dessen Haupteinzugsbereich sich erkennbar mit dem Vertragsgebiet überschneidet.</w:t>
      </w:r>
    </w:p>
    <w:p>
      <w:pPr>
        <w:pStyle w:val="Heading1"/>
      </w:pPr>
      <w:r>
        <w:t>4. Investition, Finanzierung und Eigenverantwortung</w:t>
      </w:r>
    </w:p>
    <w:p>
      <w:pPr>
        <w:widowControl/>
      </w:pPr>
      <w:r>
        <w:rPr>
          <w:rFonts w:ascii="Arial" w:hAnsi="Arial"/>
          <w:b w:val="0"/>
          <w:i w:val="0"/>
          <w:color w:val="222E3A"/>
          <w:sz w:val="21"/>
        </w:rPr>
        <w:t>4.1 Die Franchisenehmerin beschafft und finanziert die für den Betrieb erforderliche Ausstattung auf eigene Rechnung. Der bei Vertragsschluss zugrunde gelegte Investitionsrahmen beträgt 420000,00 Euro netto einschließlich Umbau, Küche, Möblierung, Erstausstattung und Eröffnungswerbung.</w:t>
      </w:r>
    </w:p>
    <w:p>
      <w:pPr>
        <w:widowControl/>
      </w:pPr>
      <w:r>
        <w:rPr>
          <w:rFonts w:ascii="Arial" w:hAnsi="Arial"/>
          <w:b w:val="0"/>
          <w:i w:val="0"/>
          <w:color w:val="222E3A"/>
          <w:sz w:val="21"/>
        </w:rPr>
        <w:t>4.2 Die der Franchisenehmerin am 15. Juli 2022 übergebene Investitions- und Ertragsvorschau beruht auf den dort ausgewiesenen Annahmen. Die Parteien bestätigen, dass Abweichungen bei Frequenz, Personalkosten, Wareneinsatz, Finanzierung und Anlaufdauer möglich sind.</w:t>
      </w:r>
    </w:p>
    <w:p>
      <w:pPr>
        <w:widowControl/>
      </w:pPr>
      <w:r>
        <w:rPr>
          <w:rFonts w:ascii="Arial" w:hAnsi="Arial"/>
          <w:b w:val="0"/>
          <w:i w:val="0"/>
          <w:color w:val="222E3A"/>
          <w:sz w:val="21"/>
        </w:rPr>
        <w:t>4.3 Die Franchisenehmerin legt der Franchisegeberin spätestens sechs Wochen vor Eröffnung einen Finanzierungsnachweis und die endgültige Kostenaufstellung vor.</w:t>
      </w:r>
    </w:p>
    <w:p>
      <w:pPr>
        <w:pStyle w:val="Heading1"/>
      </w:pPr>
      <w:r>
        <w:t>5. Gebühren</w:t>
      </w:r>
    </w:p>
    <w:p>
      <w:pPr>
        <w:widowControl/>
      </w:pPr>
      <w:r>
        <w:rPr>
          <w:rFonts w:ascii="Arial" w:hAnsi="Arial"/>
          <w:b w:val="0"/>
          <w:i w:val="0"/>
          <w:color w:val="222E3A"/>
          <w:sz w:val="21"/>
        </w:rPr>
        <w:t>5.1 Die einmalige Eintrittsgebühr beträgt 24000,00 Euro netto und wird vierzehn Tage nach Rechnungsstellung fällig.</w:t>
      </w:r>
    </w:p>
    <w:p>
      <w:pPr>
        <w:widowControl/>
      </w:pPr>
      <w:r>
        <w:rPr>
          <w:rFonts w:ascii="Arial" w:hAnsi="Arial"/>
          <w:b w:val="0"/>
          <w:i w:val="0"/>
          <w:color w:val="222E3A"/>
          <w:sz w:val="21"/>
        </w:rPr>
        <w:t>5.2 Die laufende Franchisegebühr beträgt fünf Prozent des monatlichen Nettoumsatzes. Zusätzlich wird ein Marketingbeitrag in Höhe von zwei Prozent des monatlichen Nettoumsatzes erhoben.</w:t>
      </w:r>
    </w:p>
    <w:p>
      <w:pPr>
        <w:widowControl/>
      </w:pPr>
      <w:r>
        <w:rPr>
          <w:rFonts w:ascii="Arial" w:hAnsi="Arial"/>
          <w:b w:val="0"/>
          <w:i w:val="0"/>
          <w:color w:val="222E3A"/>
          <w:sz w:val="21"/>
        </w:rPr>
        <w:t>5.3 Nettoumsatz ist der über sämtliche Verkaufskanäle erzielte Umsatz ohne Umsatzsteuer, vermindert um nachweislich stornierte Verkäufe und ausgezahlte Pfandbeträge.</w:t>
      </w:r>
    </w:p>
    <w:p>
      <w:pPr>
        <w:pStyle w:val="Heading1"/>
      </w:pPr>
      <w:r>
        <w:t>6. Warenbezug und freigegebene Lieferanten</w:t>
      </w:r>
    </w:p>
    <w:p>
      <w:pPr>
        <w:widowControl/>
      </w:pPr>
      <w:r>
        <w:rPr>
          <w:rFonts w:ascii="Arial" w:hAnsi="Arial"/>
          <w:b w:val="0"/>
          <w:i w:val="0"/>
          <w:color w:val="222E3A"/>
          <w:sz w:val="21"/>
        </w:rPr>
        <w:t>6.1 Systemprägende Waren, Verpackungen und Gewürzmischungen sind von den im Systemhandbuch bezeichneten Lieferanten zu beziehen. Die aktuelle Liste wird im Partnerportal geführt.</w:t>
      </w:r>
    </w:p>
    <w:p>
      <w:pPr>
        <w:widowControl/>
      </w:pPr>
      <w:r>
        <w:rPr>
          <w:rFonts w:ascii="Arial" w:hAnsi="Arial"/>
          <w:b w:val="0"/>
          <w:i w:val="0"/>
          <w:color w:val="222E3A"/>
          <w:sz w:val="21"/>
        </w:rPr>
        <w:t>6.2 Die Franchisegeberin kann Lieferanten aus Gründen der Produktsicherheit, einheitlichen Qualität, Lieferfähigkeit oder Sortimentsentwicklung austauschen. Änderungen sind grundsätzlich mit einer Vorlaufzeit von vier Wochen anzukündigen.</w:t>
      </w:r>
    </w:p>
    <w:p>
      <w:pPr>
        <w:widowControl/>
      </w:pPr>
      <w:r>
        <w:rPr>
          <w:rFonts w:ascii="Arial" w:hAnsi="Arial"/>
          <w:b w:val="0"/>
          <w:i w:val="0"/>
          <w:color w:val="222E3A"/>
          <w:sz w:val="21"/>
        </w:rPr>
        <w:t>6.3 Bei wiederholten Qualitätsmängeln oder Lieferausfällen meldet die Franchisenehmerin den Vorgang mit Chargennummer, Foto und Lieferschein binnen zwei Werktagen an die Qualitätssicherung.</w:t>
      </w:r>
    </w:p>
    <w:p>
      <w:pPr>
        <w:pStyle w:val="Heading1"/>
      </w:pPr>
      <w:r>
        <w:t>7. Systemhandbuch und betriebliche Standards</w:t>
      </w:r>
    </w:p>
    <w:p>
      <w:pPr>
        <w:widowControl/>
      </w:pPr>
      <w:r>
        <w:rPr>
          <w:rFonts w:ascii="Arial" w:hAnsi="Arial"/>
          <w:b w:val="0"/>
          <w:i w:val="0"/>
          <w:color w:val="222E3A"/>
          <w:sz w:val="21"/>
        </w:rPr>
        <w:t>7.1 Die Franchisenehmerin setzt verbindliche Änderungen des Systemhandbuchs innerhalb der im Rundschreiben genannten Umsetzungsfrist um. Bauliche Änderungen mit Einzelkosten von mehr als 15000,00 Euro netto bedürfen einer gesonderten schriftlichen Vereinbarung.</w:t>
      </w:r>
    </w:p>
    <w:p>
      <w:pPr>
        <w:widowControl/>
      </w:pPr>
      <w:r>
        <w:rPr>
          <w:rFonts w:ascii="Arial" w:hAnsi="Arial"/>
          <w:b w:val="0"/>
          <w:i w:val="0"/>
          <w:color w:val="222E3A"/>
          <w:sz w:val="21"/>
        </w:rPr>
        <w:t>7.2 Lokale Abweichungen sind zulässig, wenn sie zuvor per E-Mail von der Bereichsleitung Betrieb freigegeben worden sind. Mündliche Zusagen des Außendienstes ersetzen die Freigabe nicht.</w:t>
      </w:r>
    </w:p>
    <w:p>
      <w:pPr>
        <w:pStyle w:val="Heading1"/>
      </w:pPr>
      <w:r>
        <w:t>8. Werbung und digitale Kanäle</w:t>
      </w:r>
    </w:p>
    <w:p>
      <w:pPr>
        <w:widowControl/>
      </w:pPr>
      <w:r>
        <w:rPr>
          <w:rFonts w:ascii="Arial" w:hAnsi="Arial"/>
          <w:b w:val="0"/>
          <w:i w:val="0"/>
          <w:color w:val="222E3A"/>
          <w:sz w:val="21"/>
        </w:rPr>
        <w:t>8.1 Lokale Werbung muss das aktuelle Markenhandbuch einhalten. Preisaktionen mit einer Laufzeit von höchstens sieben Kalendertagen dürfen nach Anmeldung über das Partnerportal durchgeführt werden.</w:t>
      </w:r>
    </w:p>
    <w:p>
      <w:pPr>
        <w:widowControl/>
      </w:pPr>
      <w:r>
        <w:rPr>
          <w:rFonts w:ascii="Arial" w:hAnsi="Arial"/>
          <w:b w:val="0"/>
          <w:i w:val="0"/>
          <w:color w:val="222E3A"/>
          <w:sz w:val="21"/>
        </w:rPr>
        <w:t>8.2 Äußerungen auf standortbezogenen Konten müssen sachlich bleiben und dürfen nicht den Eindruck erwecken, im Namen der Franchisegeberin zu erfolgen. Zugangsdaten zu den lokalen Konten verbleiben bei der Franchisenehmerin; bei Vertragsende sind Markenbezeichnung und Gestaltung zu entfernen.</w:t>
      </w:r>
    </w:p>
    <w:p>
      <w:pPr>
        <w:pStyle w:val="Heading1"/>
      </w:pPr>
      <w:r>
        <w:t>9. Kassensystem, Berichte und Betriebsprüfung</w:t>
      </w:r>
    </w:p>
    <w:p>
      <w:pPr>
        <w:widowControl/>
      </w:pPr>
      <w:r>
        <w:rPr>
          <w:rFonts w:ascii="Arial" w:hAnsi="Arial"/>
          <w:b w:val="0"/>
          <w:i w:val="0"/>
          <w:color w:val="222E3A"/>
          <w:sz w:val="21"/>
        </w:rPr>
        <w:t>9.1 Sämtliche Verkäufe werden über KronenPOS erfasst. Die Franchisenehmerin übermittelt monatlich bis zum fünften Werktag einen Umsatzbericht, die Wareneinsatzquote und die Zahl der Transaktionen.</w:t>
      </w:r>
    </w:p>
    <w:p>
      <w:pPr>
        <w:widowControl/>
      </w:pPr>
      <w:r>
        <w:rPr>
          <w:rFonts w:ascii="Arial" w:hAnsi="Arial"/>
          <w:b w:val="0"/>
          <w:i w:val="0"/>
          <w:color w:val="222E3A"/>
          <w:sz w:val="21"/>
        </w:rPr>
        <w:t>9.2 Bei konkreten Abweichungen zwischen Gebührenmeldung, Liefermengen und Kassensummen kann die Franchisegeberin eine Prüfung ankündigen. Die Prüfung ist auf die für Gebühren, Systemqualität und Warenfluss erforderlichen Daten zu beschränken und während der üblichen Geschäftszeiten durchzuführen.</w:t>
      </w:r>
    </w:p>
    <w:p>
      <w:pPr>
        <w:widowControl/>
      </w:pPr>
      <w:r>
        <w:rPr>
          <w:rFonts w:ascii="Arial" w:hAnsi="Arial"/>
          <w:b w:val="0"/>
          <w:i w:val="0"/>
          <w:color w:val="222E3A"/>
          <w:sz w:val="21"/>
        </w:rPr>
        <w:t>9.3 Personenbezogene Kundendaten und vollständige Kartenzahlungsdaten sind vor einer Übermittlung auszusondern. Die Franchisenehmerin stellt Exportdateien aus KronenPOS bereit, soweit dies technisch möglich ist.</w:t>
      </w:r>
    </w:p>
    <w:p>
      <w:pPr>
        <w:pStyle w:val="Heading1"/>
      </w:pPr>
      <w:r>
        <w:t>10. Vertragsstörungen</w:t>
      </w:r>
    </w:p>
    <w:p>
      <w:pPr>
        <w:widowControl/>
      </w:pPr>
      <w:r>
        <w:rPr>
          <w:rFonts w:ascii="Arial" w:hAnsi="Arial"/>
          <w:b w:val="0"/>
          <w:i w:val="0"/>
          <w:color w:val="222E3A"/>
          <w:sz w:val="21"/>
        </w:rPr>
        <w:t>10.1 Beanstandungen sind unter Benennung des Vorgangs, des Datums und einer angemessenen Frist zur Abhilfe schriftlich mitzuteilen.</w:t>
      </w:r>
    </w:p>
    <w:p>
      <w:pPr>
        <w:widowControl/>
      </w:pPr>
      <w:r>
        <w:rPr>
          <w:rFonts w:ascii="Arial" w:hAnsi="Arial"/>
          <w:b w:val="0"/>
          <w:i w:val="0"/>
          <w:color w:val="222E3A"/>
          <w:sz w:val="21"/>
        </w:rPr>
        <w:t>10.2 Eine außerordentliche Kündigung wegen eines behebbaren Verstoßes setzt grundsätzlich eine erfolglose Abmahnung voraus. Unberührt bleiben schwerwiegende Pflichtverletzungen, bei denen eine Fortsetzung bis zum Ablauf einer Abhilfefrist unzumutbar ist.</w:t>
      </w:r>
    </w:p>
    <w:p>
      <w:pPr>
        <w:pStyle w:val="Heading1"/>
      </w:pPr>
      <w:r>
        <w:t>11. Folgen der Vertragsbeendigung</w:t>
      </w:r>
    </w:p>
    <w:p>
      <w:pPr>
        <w:widowControl/>
      </w:pPr>
      <w:r>
        <w:rPr>
          <w:rFonts w:ascii="Arial" w:hAnsi="Arial"/>
          <w:b w:val="0"/>
          <w:i w:val="0"/>
          <w:color w:val="222E3A"/>
          <w:sz w:val="21"/>
        </w:rPr>
        <w:t>11.1 Innerhalb von vierzehn Tagen nach Vertragsende entfernt die Franchisenehmerin Markenkennzeichen, Außenwerbung und systemtypische Gestaltungselemente. Die Demontage erfolgt fachgerecht und unter Beachtung mietvertraglicher Vorgaben.</w:t>
      </w:r>
    </w:p>
    <w:p>
      <w:pPr>
        <w:widowControl/>
      </w:pPr>
      <w:r>
        <w:rPr>
          <w:rFonts w:ascii="Arial" w:hAnsi="Arial"/>
          <w:b w:val="0"/>
          <w:i w:val="0"/>
          <w:color w:val="222E3A"/>
          <w:sz w:val="21"/>
        </w:rPr>
        <w:t>11.2 Verkehrsfähige, originalverpackte Systemware mit einer Resthaltbarkeit von mindestens acht Wochen wird von der Franchisegeberin zum nachgewiesenen Einkaufspreis abzüglich zehn Prozent Bearbeitungskosten zurückgenommen.</w:t>
      </w:r>
    </w:p>
    <w:p>
      <w:pPr>
        <w:widowControl/>
      </w:pPr>
      <w:r>
        <w:rPr>
          <w:rFonts w:ascii="Arial" w:hAnsi="Arial"/>
          <w:b w:val="0"/>
          <w:i w:val="0"/>
          <w:color w:val="222E3A"/>
          <w:sz w:val="21"/>
        </w:rPr>
        <w:t>11.3 Für zwölf Monate nach Vertragsende betreibt die Franchisenehmerin in den Postleitzahlgebieten 48153 und 48155 keinen unmittelbar vergleichbaren Systemgastronomiebetrieb, sofern die Franchisegeberin für diesen Zeitraum eine monatliche Karenzentschädigung in Höhe von 50 Prozent des durchschnittlichen monatlichen Unternehmerlohns der letzten zwölf Vertragsmonate zahlt.</w:t>
      </w:r>
    </w:p>
    <w:p>
      <w:pPr>
        <w:pStyle w:val="Heading1"/>
      </w:pPr>
      <w:r>
        <w:t>12. Schlussbestimmungen</w:t>
      </w:r>
    </w:p>
    <w:p>
      <w:pPr>
        <w:widowControl/>
      </w:pPr>
      <w:r>
        <w:rPr>
          <w:rFonts w:ascii="Arial" w:hAnsi="Arial"/>
          <w:b w:val="0"/>
          <w:i w:val="0"/>
          <w:color w:val="222E3A"/>
          <w:sz w:val="21"/>
        </w:rPr>
        <w:t>12.1 Änderungen und Ergänzungen dieses Vertrages werden von beiden Parteien unterzeichnet. Individuelle Abreden bleiben unberührt.</w:t>
      </w:r>
    </w:p>
    <w:p>
      <w:pPr>
        <w:widowControl/>
      </w:pPr>
      <w:r>
        <w:rPr>
          <w:rFonts w:ascii="Arial" w:hAnsi="Arial"/>
          <w:b w:val="0"/>
          <w:i w:val="0"/>
          <w:color w:val="222E3A"/>
          <w:sz w:val="21"/>
        </w:rPr>
        <w:t>12.2 Anlagen 1 bis 5 sind Bestandteil des Vertrages. Jede Partei erhält eine unterzeichnete Ausfertigung.</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1134"/>
            <w:vAlign w:val="center"/>
            <w:tcMar>
              <w:top w:w="100" w:type="dxa"/>
              <w:start w:w="120" w:type="dxa"/>
              <w:bottom w:w="100" w:type="dxa"/>
              <w:end w:w="120" w:type="dxa"/>
            </w:tcMar>
            <w:shd w:fill="F2F4F5"/>
          </w:tcPr>
          <w:p>
            <w:pPr>
              <w:spacing w:after="0"/>
            </w:pPr>
            <w:r>
              <w:rPr>
                <w:rFonts w:ascii="Arial" w:hAnsi="Arial"/>
                <w:b/>
                <w:i w:val="0"/>
                <w:color w:val="892E2A"/>
                <w:sz w:val="17"/>
              </w:rPr>
              <w:t>Anlage</w:t>
            </w:r>
          </w:p>
        </w:tc>
        <w:tc>
          <w:tcPr>
            <w:tcW w:type="dxa" w:w="5953"/>
            <w:vAlign w:val="center"/>
            <w:tcMar>
              <w:top w:w="100" w:type="dxa"/>
              <w:start w:w="120" w:type="dxa"/>
              <w:bottom w:w="100" w:type="dxa"/>
              <w:end w:w="120" w:type="dxa"/>
            </w:tcMar>
            <w:shd w:fill="F2F4F5"/>
          </w:tcPr>
          <w:p>
            <w:pPr>
              <w:spacing w:after="0"/>
            </w:pPr>
            <w:r>
              <w:rPr>
                <w:rFonts w:ascii="Arial" w:hAnsi="Arial"/>
                <w:b/>
                <w:i w:val="0"/>
                <w:color w:val="892E2A"/>
                <w:sz w:val="17"/>
              </w:rPr>
              <w:t>Bezeichnung</w:t>
            </w:r>
          </w:p>
        </w:tc>
        <w:tc>
          <w:tcPr>
            <w:tcW w:type="dxa" w:w="2268"/>
            <w:vAlign w:val="center"/>
            <w:tcMar>
              <w:top w:w="100" w:type="dxa"/>
              <w:start w:w="120" w:type="dxa"/>
              <w:bottom w:w="100" w:type="dxa"/>
              <w:end w:w="120" w:type="dxa"/>
            </w:tcMar>
            <w:shd w:fill="F2F4F5"/>
          </w:tcPr>
          <w:p>
            <w:pPr>
              <w:spacing w:after="0"/>
            </w:pPr>
            <w:r>
              <w:rPr>
                <w:rFonts w:ascii="Arial" w:hAnsi="Arial"/>
                <w:b/>
                <w:i w:val="0"/>
                <w:color w:val="892E2A"/>
                <w:sz w:val="17"/>
              </w:rPr>
              <w:t>Stand</w:t>
            </w:r>
          </w:p>
        </w:tc>
      </w:tr>
      <w:tr>
        <w:tc>
          <w:tcPr>
            <w:tcW w:type="dxa" w:w="1134"/>
            <w:vAlign w:val="center"/>
            <w:tcMar>
              <w:top w:w="100" w:type="dxa"/>
              <w:start w:w="120" w:type="dxa"/>
              <w:bottom w:w="100" w:type="dxa"/>
              <w:end w:w="120" w:type="dxa"/>
            </w:tcMar>
          </w:tcPr>
          <w:p>
            <w:pPr>
              <w:spacing w:after="0"/>
            </w:pPr>
            <w:r>
              <w:rPr>
                <w:rFonts w:ascii="Arial" w:hAnsi="Arial"/>
                <w:b w:val="0"/>
                <w:i w:val="0"/>
                <w:color w:val="222E3A"/>
                <w:sz w:val="17"/>
              </w:rPr>
              <w:t>1</w:t>
            </w:r>
          </w:p>
        </w:tc>
        <w:tc>
          <w:tcPr>
            <w:tcW w:type="dxa" w:w="5953"/>
            <w:vAlign w:val="center"/>
            <w:tcMar>
              <w:top w:w="100" w:type="dxa"/>
              <w:start w:w="120" w:type="dxa"/>
              <w:bottom w:w="100" w:type="dxa"/>
              <w:end w:w="120" w:type="dxa"/>
            </w:tcMar>
          </w:tcPr>
          <w:p>
            <w:pPr>
              <w:spacing w:after="0"/>
            </w:pPr>
            <w:r>
              <w:rPr>
                <w:rFonts w:ascii="Arial" w:hAnsi="Arial"/>
                <w:b w:val="0"/>
                <w:i w:val="0"/>
                <w:color w:val="222E3A"/>
                <w:sz w:val="17"/>
              </w:rPr>
              <w:t>Standort- und Eröffnungsplan</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18.08.2022</w:t>
            </w:r>
          </w:p>
        </w:tc>
      </w:tr>
      <w:tr>
        <w:tc>
          <w:tcPr>
            <w:tcW w:type="dxa" w:w="1134"/>
            <w:vAlign w:val="center"/>
            <w:tcMar>
              <w:top w:w="100" w:type="dxa"/>
              <w:start w:w="120" w:type="dxa"/>
              <w:bottom w:w="100" w:type="dxa"/>
              <w:end w:w="120" w:type="dxa"/>
            </w:tcMar>
          </w:tcPr>
          <w:p>
            <w:pPr>
              <w:spacing w:after="0"/>
            </w:pPr>
            <w:r>
              <w:rPr>
                <w:rFonts w:ascii="Arial" w:hAnsi="Arial"/>
                <w:b w:val="0"/>
                <w:i w:val="0"/>
                <w:color w:val="222E3A"/>
                <w:sz w:val="17"/>
              </w:rPr>
              <w:t>2</w:t>
            </w:r>
          </w:p>
        </w:tc>
        <w:tc>
          <w:tcPr>
            <w:tcW w:type="dxa" w:w="5953"/>
            <w:vAlign w:val="center"/>
            <w:tcMar>
              <w:top w:w="100" w:type="dxa"/>
              <w:start w:w="120" w:type="dxa"/>
              <w:bottom w:w="100" w:type="dxa"/>
              <w:end w:w="120" w:type="dxa"/>
            </w:tcMar>
          </w:tcPr>
          <w:p>
            <w:pPr>
              <w:spacing w:after="0"/>
            </w:pPr>
            <w:r>
              <w:rPr>
                <w:rFonts w:ascii="Arial" w:hAnsi="Arial"/>
                <w:b w:val="0"/>
                <w:i w:val="0"/>
                <w:color w:val="222E3A"/>
                <w:sz w:val="17"/>
              </w:rPr>
              <w:t>Vertragsgebiet Münster-Süd</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18.08.2022</w:t>
            </w:r>
          </w:p>
        </w:tc>
      </w:tr>
      <w:tr>
        <w:tc>
          <w:tcPr>
            <w:tcW w:type="dxa" w:w="1134"/>
            <w:vAlign w:val="center"/>
            <w:tcMar>
              <w:top w:w="100" w:type="dxa"/>
              <w:start w:w="120" w:type="dxa"/>
              <w:bottom w:w="100" w:type="dxa"/>
              <w:end w:w="120" w:type="dxa"/>
            </w:tcMar>
          </w:tcPr>
          <w:p>
            <w:pPr>
              <w:spacing w:after="0"/>
            </w:pPr>
            <w:r>
              <w:rPr>
                <w:rFonts w:ascii="Arial" w:hAnsi="Arial"/>
                <w:b w:val="0"/>
                <w:i w:val="0"/>
                <w:color w:val="222E3A"/>
                <w:sz w:val="17"/>
              </w:rPr>
              <w:t>3</w:t>
            </w:r>
          </w:p>
        </w:tc>
        <w:tc>
          <w:tcPr>
            <w:tcW w:type="dxa" w:w="5953"/>
            <w:vAlign w:val="center"/>
            <w:tcMar>
              <w:top w:w="100" w:type="dxa"/>
              <w:start w:w="120" w:type="dxa"/>
              <w:bottom w:w="100" w:type="dxa"/>
              <w:end w:w="120" w:type="dxa"/>
            </w:tcMar>
          </w:tcPr>
          <w:p>
            <w:pPr>
              <w:spacing w:after="0"/>
            </w:pPr>
            <w:r>
              <w:rPr>
                <w:rFonts w:ascii="Arial" w:hAnsi="Arial"/>
                <w:b w:val="0"/>
                <w:i w:val="0"/>
                <w:color w:val="222E3A"/>
                <w:sz w:val="17"/>
              </w:rPr>
              <w:t>Gebührenblatt</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18.08.2022</w:t>
            </w:r>
          </w:p>
        </w:tc>
      </w:tr>
      <w:tr>
        <w:tc>
          <w:tcPr>
            <w:tcW w:type="dxa" w:w="1134"/>
            <w:vAlign w:val="center"/>
            <w:tcMar>
              <w:top w:w="100" w:type="dxa"/>
              <w:start w:w="120" w:type="dxa"/>
              <w:bottom w:w="100" w:type="dxa"/>
              <w:end w:w="120" w:type="dxa"/>
            </w:tcMar>
          </w:tcPr>
          <w:p>
            <w:pPr>
              <w:spacing w:after="0"/>
            </w:pPr>
            <w:r>
              <w:rPr>
                <w:rFonts w:ascii="Arial" w:hAnsi="Arial"/>
                <w:b w:val="0"/>
                <w:i w:val="0"/>
                <w:color w:val="222E3A"/>
                <w:sz w:val="17"/>
              </w:rPr>
              <w:t>4</w:t>
            </w:r>
          </w:p>
        </w:tc>
        <w:tc>
          <w:tcPr>
            <w:tcW w:type="dxa" w:w="5953"/>
            <w:vAlign w:val="center"/>
            <w:tcMar>
              <w:top w:w="100" w:type="dxa"/>
              <w:start w:w="120" w:type="dxa"/>
              <w:bottom w:w="100" w:type="dxa"/>
              <w:end w:w="120" w:type="dxa"/>
            </w:tcMar>
          </w:tcPr>
          <w:p>
            <w:pPr>
              <w:spacing w:after="0"/>
            </w:pPr>
            <w:r>
              <w:rPr>
                <w:rFonts w:ascii="Arial" w:hAnsi="Arial"/>
                <w:b w:val="0"/>
                <w:i w:val="0"/>
                <w:color w:val="222E3A"/>
                <w:sz w:val="17"/>
              </w:rPr>
              <w:t>Erstausstattung und Lieferanten</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18.08.2022</w:t>
            </w:r>
          </w:p>
        </w:tc>
      </w:tr>
      <w:tr>
        <w:tc>
          <w:tcPr>
            <w:tcW w:type="dxa" w:w="1134"/>
            <w:vAlign w:val="center"/>
            <w:tcMar>
              <w:top w:w="100" w:type="dxa"/>
              <w:start w:w="120" w:type="dxa"/>
              <w:bottom w:w="100" w:type="dxa"/>
              <w:end w:w="120" w:type="dxa"/>
            </w:tcMar>
          </w:tcPr>
          <w:p>
            <w:pPr>
              <w:spacing w:after="0"/>
            </w:pPr>
            <w:r>
              <w:rPr>
                <w:rFonts w:ascii="Arial" w:hAnsi="Arial"/>
                <w:b w:val="0"/>
                <w:i w:val="0"/>
                <w:color w:val="222E3A"/>
                <w:sz w:val="17"/>
              </w:rPr>
              <w:t>5</w:t>
            </w:r>
          </w:p>
        </w:tc>
        <w:tc>
          <w:tcPr>
            <w:tcW w:type="dxa" w:w="5953"/>
            <w:vAlign w:val="center"/>
            <w:tcMar>
              <w:top w:w="100" w:type="dxa"/>
              <w:start w:w="120" w:type="dxa"/>
              <w:bottom w:w="100" w:type="dxa"/>
              <w:end w:w="120" w:type="dxa"/>
            </w:tcMar>
          </w:tcPr>
          <w:p>
            <w:pPr>
              <w:spacing w:after="0"/>
            </w:pPr>
            <w:r>
              <w:rPr>
                <w:rFonts w:ascii="Arial" w:hAnsi="Arial"/>
                <w:b w:val="0"/>
                <w:i w:val="0"/>
                <w:color w:val="222E3A"/>
                <w:sz w:val="17"/>
              </w:rPr>
              <w:t>Übergabeprotokoll Systemhandbuch</w:t>
            </w:r>
          </w:p>
        </w:tc>
        <w:tc>
          <w:tcPr>
            <w:tcW w:type="dxa" w:w="2268"/>
            <w:vAlign w:val="center"/>
            <w:tcMar>
              <w:top w:w="100" w:type="dxa"/>
              <w:start w:w="120" w:type="dxa"/>
              <w:bottom w:w="100" w:type="dxa"/>
              <w:end w:w="120" w:type="dxa"/>
            </w:tcMar>
          </w:tcPr>
          <w:p>
            <w:pPr>
              <w:spacing w:after="0"/>
            </w:pPr>
            <w:r>
              <w:rPr>
                <w:rFonts w:ascii="Arial" w:hAnsi="Arial"/>
                <w:b w:val="0"/>
                <w:i w:val="0"/>
                <w:color w:val="222E3A"/>
                <w:sz w:val="17"/>
              </w:rPr>
              <w:t>bei Eröffnung</w:t>
            </w:r>
          </w:p>
        </w:tc>
      </w:tr>
    </w:tbl>
    <w:p>
      <w:pPr>
        <w:spacing w:after="20"/>
      </w:pPr>
    </w:p>
    <w:p/>
    <w:p>
      <w:pPr>
        <w:spacing w:after="40"/>
      </w:pPr>
      <w:r>
        <w:rPr>
          <w:rFonts w:ascii="Arial" w:hAnsi="Arial"/>
          <w:b w:val="0"/>
          <w:i w:val="0"/>
          <w:color w:val="222E3A"/>
          <w:sz w:val="21"/>
        </w:rPr>
        <w:t>Münster, 18. August 2022</w:t>
      </w:r>
    </w:p>
    <w:p>
      <w:pPr>
        <w:spacing w:after="0"/>
      </w:pPr>
      <w:r>
        <w:rPr>
          <w:rFonts w:ascii="Arial" w:hAnsi="Arial"/>
          <w:b/>
          <w:i w:val="0"/>
          <w:color w:val="222E3A"/>
          <w:sz w:val="19"/>
        </w:rPr>
        <w:t>Dr. Clemens Rabe</w:t>
      </w:r>
    </w:p>
    <w:p>
      <w:pPr>
        <w:spacing w:after="0"/>
      </w:pPr>
      <w:r>
        <w:rPr>
          <w:rFonts w:ascii="Arial" w:hAnsi="Arial"/>
          <w:b w:val="0"/>
          <w:i w:val="0"/>
          <w:color w:val="222E3A"/>
          <w:sz w:val="19"/>
        </w:rPr>
        <w:t>für die Knusperkrone Franchise GmbH</w:t>
      </w:r>
    </w:p>
    <w:p/>
    <w:p>
      <w:pPr>
        <w:spacing w:after="40"/>
      </w:pPr>
      <w:r>
        <w:rPr>
          <w:rFonts w:ascii="Arial" w:hAnsi="Arial"/>
          <w:b w:val="0"/>
          <w:i w:val="0"/>
          <w:color w:val="222E3A"/>
          <w:sz w:val="21"/>
        </w:rPr>
        <w:t>Münster, 18. August 2022</w:t>
      </w:r>
    </w:p>
    <w:p>
      <w:pPr>
        <w:spacing w:after="0"/>
      </w:pPr>
      <w:r>
        <w:rPr>
          <w:rFonts w:ascii="Arial" w:hAnsi="Arial"/>
          <w:b/>
          <w:i w:val="0"/>
          <w:color w:val="222E3A"/>
          <w:sz w:val="19"/>
        </w:rPr>
        <w:t>Elif Karaca</w:t>
      </w:r>
    </w:p>
    <w:p>
      <w:pPr>
        <w:spacing w:after="0"/>
      </w:pPr>
      <w:r>
        <w:rPr>
          <w:rFonts w:ascii="Arial" w:hAnsi="Arial"/>
          <w:b w:val="0"/>
          <w:i w:val="0"/>
          <w:color w:val="222E3A"/>
          <w:sz w:val="19"/>
        </w:rPr>
        <w:t>Inhaberin Münster Gastro Karaca e.K.</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KK-FR-2022-017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FRANCHISEVERTRAG</w:t>
    </w:r>
    <w:r>
      <w:rPr>
        <w:rFonts w:ascii="Arial" w:hAnsi="Arial"/>
        <w:b w:val="0"/>
        <w:i w:val="0"/>
        <w:color w:val="58626C"/>
        <w:sz w:val="17"/>
      </w:rPr>
      <w:t xml:space="preserve">  |  KK-FR-2022-017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Franchisevertrag Münster-Süd</dc:title>
  <dc:subject>Geschäftsunterlage</dc:subject>
  <dc:creator>Knusperkrone Franchise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