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Partnerauftrag</w:t>
      </w:r>
    </w:p>
    <w:p>
      <w:pPr>
        <w:jc w:val="left"/>
      </w:pPr>
      <w:r>
        <w:rPr>
          <w:b/>
        </w:rPr>
        <w:t>Von:</w:t>
      </w:r>
      <w:r>
        <w:t xml:space="preserve"> RA Dr. Henriette Alvensleben, Partnerin Corporate/M&amp;A</w:t>
      </w:r>
    </w:p>
    <w:p>
      <w:pPr>
        <w:jc w:val="left"/>
      </w:pPr>
      <w:r>
        <w:rPr>
          <w:b/>
        </w:rPr>
        <w:t>An:</w:t>
      </w:r>
      <w:r>
        <w:t xml:space="preserve"> Steuerrechtsteam (Dr. Bertram Holzschuh, Counsel; Susanne Petrich, Senior Associate)</w:t>
      </w:r>
    </w:p>
    <w:p>
      <w:pPr>
        <w:jc w:val="left"/>
      </w:pPr>
      <w:r>
        <w:rPr>
          <w:b/>
        </w:rPr>
        <w:t>Cc:</w:t>
      </w:r>
      <w:r>
        <w:t xml:space="preserve"> Lukas Vandermolen, Associate Tax; Datenraum-Admin</w:t>
      </w:r>
    </w:p>
    <w:p>
      <w:pPr>
        <w:jc w:val="left"/>
      </w:pPr>
      <w:r>
        <w:rPr>
          <w:b/>
        </w:rPr>
        <w:t>Datum:</w:t>
      </w:r>
      <w:r>
        <w:t xml:space="preserve"> 12.05.2026, 22:18 Uhr</w:t>
      </w:r>
    </w:p>
    <w:p>
      <w:pPr>
        <w:jc w:val="left"/>
      </w:pPr>
      <w:r>
        <w:rPr>
          <w:b/>
        </w:rPr>
        <w:t>Betreff:</w:t>
      </w:r>
      <w:r>
        <w:t xml:space="preserve"> Projekt Waldkrone -- GrESt-Doppelthema bitte morgen früh auf den Punkt</w:t>
      </w:r>
    </w:p>
    <w:p>
      <w:pPr>
        <w:jc w:val="left"/>
      </w:pPr>
      <w:r>
        <w:rPr>
          <w:b/>
        </w:rPr>
        <w:t>Mandantsnummer:</w:t>
      </w:r>
      <w:r>
        <w:t xml:space="preserve"> AKB 2025-1144 / Waldkrone</w:t>
      </w:r>
    </w:p>
    <w:p>
      <w:pPr>
        <w:jc w:val="left"/>
      </w:pPr>
      <w:r>
        <w:rPr>
          <w:b/>
        </w:rPr>
        <w:t>Vertraulichkeit:</w:t>
      </w:r>
      <w:r>
        <w:t xml:space="preserve"> Mandantenintern; nicht in Standard-Newsletter</w:t>
      </w:r>
    </w:p>
    <w:p>
      <w:pPr>
        <w:jc w:val="left"/>
      </w:pPr>
      <w:r>
        <w:t>Liebe Kollegen,</w:t>
      </w:r>
    </w:p>
    <w:p>
      <w:pPr>
        <w:jc w:val="left"/>
      </w:pPr>
      <w:r>
        <w:t xml:space="preserve">wir brauchen bitte kurzfristig eine belastbare steuerrechtliche Einschätzung zu Projekt </w:t>
      </w:r>
      <w:r>
        <w:rPr>
          <w:b/>
        </w:rPr>
        <w:t>Waldkrone</w:t>
      </w:r>
      <w:r>
        <w:t>. Der Mandant (Silver Harbour Capital plc, Dublin) hat die Frage über das Inhouse-Team an uns weitergereicht; CFO Sarah Killeen und General Counsel Niall Brennan erwarten morgen, 13.05.2026, 10:30 Uhr eine kurze Telko-Notiz.</w:t>
      </w:r>
    </w:p>
    <w:p>
      <w:pPr>
        <w:pStyle w:val="Heading2"/>
      </w:pPr>
      <w:r>
        <w:rPr>
          <w:rFonts w:ascii="Times New Roman" w:hAnsi="Times New Roman"/>
        </w:rPr>
        <w:t>Kurzsachverhalt (zur Orientierung)</w:t>
      </w:r>
    </w:p>
    <w:p>
      <w:pPr>
        <w:jc w:val="left"/>
      </w:pPr>
      <w:r>
        <w:t xml:space="preserve">Die Käuferin Silver Harbour Capital plc aus Dublin hat über ihre 100-prozentige deutsche Erwerbsgesellschaft (SHC Germany HoldCo GmbH, Frankfurt am Main) am 30.04.2026 die Geschäftsanteile an der </w:t>
      </w:r>
      <w:r>
        <w:rPr>
          <w:b/>
        </w:rPr>
        <w:t>Waldkrone Logistik GmbH</w:t>
      </w:r>
      <w:r>
        <w:t xml:space="preserve"> (Potsdam) übernommen. Die Zielgesellschaft hält drei deutsche Logistikimmobilien (Brandenburg, Hessen, Nordrhein-Westfalen) mit einem aktuellen Grundbesitzwert in Summe von rund 34,8 Mio. EUR (siehe Anlage Grundbesitzliste).</w:t>
      </w:r>
    </w:p>
    <w:p>
      <w:pPr>
        <w:jc w:val="left"/>
      </w:pPr>
      <w:r>
        <w:t xml:space="preserve">Signing war bereits am </w:t>
      </w:r>
      <w:r>
        <w:rPr>
          <w:b/>
        </w:rPr>
        <w:t>12.12.2025</w:t>
      </w:r>
      <w:r>
        <w:t>. Das Closing war aufschiebend bedingt durch:</w:t>
      </w:r>
    </w:p>
    <w:p>
      <w:pPr>
        <w:pStyle w:val="ListBullet"/>
      </w:pPr>
      <w:r>
        <w:t>Kartellfreigabe Bundeskartellamt (erteilt 02.04.2026).</w:t>
      </w:r>
    </w:p>
    <w:p>
      <w:pPr>
        <w:pStyle w:val="ListBullet"/>
      </w:pPr>
      <w:r>
        <w:t>Bankenfreigabe der finanzierenden Konsortialbanken (erteilt 17.04.2026).</w:t>
      </w:r>
    </w:p>
    <w:p>
      <w:pPr>
        <w:pStyle w:val="ListBullet"/>
      </w:pPr>
      <w:r>
        <w:t>Freigabe Wechsel der Kontrolle aus einem Förderdarlehen Brandenburg (Investitionsbank des Landes Brandenburg, ILB; erteilt 28.04.2026).</w:t>
      </w:r>
    </w:p>
    <w:p>
      <w:pPr>
        <w:pStyle w:val="ListBullet"/>
      </w:pPr>
      <w:r>
        <w:t>Keine wesentliche Verschlechterung der Mietverträge (keine Auslösung bis Closing).</w:t>
      </w:r>
    </w:p>
    <w:p>
      <w:pPr>
        <w:jc w:val="left"/>
      </w:pPr>
      <w:r>
        <w:t>Die GrESt-Anzeige wurde am 06.05.2026 vorbereitet und am 08.05.2026 an die drei zuständigen Stellen (Finanzamt Oranienburg für Brandenburg-Belegenheit; Finanzamt Frankfurt am Main für Hessen-Belegenheit; Finanzamt Essen für NRW-Belegenheit) per Einschreiben mit Rückschein abgesandt.</w:t>
      </w:r>
    </w:p>
    <w:p>
      <w:pPr>
        <w:jc w:val="left"/>
      </w:pPr>
      <w:r>
        <w:t xml:space="preserve">Heute, 12.05.2026 um 14:15 Uhr, hat das Finanzamt Oranienburg telefonisch angedeutet, man werde sowohl wegen </w:t>
      </w:r>
      <w:r>
        <w:rPr>
          <w:b/>
        </w:rPr>
        <w:t>§ 1 Abs. 2b GrEStG</w:t>
      </w:r>
      <w:r>
        <w:t xml:space="preserve"> (Änderung im Gesellschafterbestand einer grundbesitzhaltenden Kapitalgesellschaft) festsetzen als auch zusätzlich wegen </w:t>
      </w:r>
      <w:r>
        <w:rPr>
          <w:b/>
        </w:rPr>
        <w:t>§ 1 Abs. 3 GrEStG</w:t>
      </w:r>
      <w:r>
        <w:t xml:space="preserve"> (Anteilsvereinigung) eine weitere Festsetzung gegen die Erwerberin prüfen. Begründung der Sachbearbeiterin (Frau Berger): Signing (12.12.2025) und Closing (30.04.2026) fielen zeitlich auseinander, der "Erwerbsvorgang" sei daher ein doppelter.</w:t>
      </w:r>
    </w:p>
    <w:p>
      <w:pPr>
        <w:pStyle w:val="Heading2"/>
      </w:pPr>
      <w:r>
        <w:rPr>
          <w:rFonts w:ascii="Times New Roman" w:hAnsi="Times New Roman"/>
        </w:rPr>
        <w:t>Hintergrund Mandant</w:t>
      </w:r>
    </w:p>
    <w:p>
      <w:pPr>
        <w:jc w:val="left"/>
      </w:pPr>
      <w:r>
        <w:t>Silver Harbour Capital plc ist eine an der Euronext Dublin gelistete Beteiligungsgesellschaft mit Schwerpunkt europäische Logistik-Immobilien. Waldkrone ist die fünfte deutsche Akquisition seit 2022, die ersten vier (alle in Niedersachsen und Schleswig-Holstein) wurden ohne GrESt-Streit abgewickelt. Die jetzige Konstellation ist die erste, bei der Signing und Closing über einen längeren Zeitraum (4,5 Monate) auseinanderfallen.</w:t>
      </w:r>
    </w:p>
    <w:p>
      <w:pPr>
        <w:pStyle w:val="Heading2"/>
      </w:pPr>
      <w:r>
        <w:rPr>
          <w:rFonts w:ascii="Times New Roman" w:hAnsi="Times New Roman"/>
        </w:rPr>
        <w:t>Frage an das Steuerteam</w:t>
      </w:r>
    </w:p>
    <w:p>
      <w:pPr>
        <w:jc w:val="left"/>
      </w:pPr>
      <w:r>
        <w:t>Das klingt nach dem klassischen Signing/Closing-Doppelthema, zu dem der BFH in den letzten 12 Monaten mehrfach AdV-Beschlüsse erlassen hat. Bitte prüfen und morgen 10:30 Uhr abliefern:</w:t>
      </w:r>
    </w:p>
    <w:p>
      <w:pPr>
        <w:pStyle w:val="ListNumber"/>
      </w:pPr>
      <w:r>
        <w:t>Welche Festsetzung ist wahrscheinlich angreifbar -- die § 1 Abs. 2b-Festsetzung oder die § 1 Abs. 3-Festsetzung?</w:t>
      </w:r>
    </w:p>
    <w:p>
      <w:pPr>
        <w:pStyle w:val="ListNumber"/>
      </w:pPr>
      <w:r>
        <w:t>Müssen wir gegen beide Bescheide Einspruch einlegen, wenn beide kommen?</w:t>
      </w:r>
    </w:p>
    <w:p>
      <w:pPr>
        <w:pStyle w:val="ListNumber"/>
      </w:pPr>
      <w:r>
        <w:t>Welche AdV-Zielrichtung ist richtig -- gegen welchen Bescheid, in welcher Höhe?</w:t>
      </w:r>
    </w:p>
    <w:p>
      <w:pPr>
        <w:pStyle w:val="ListNumber"/>
      </w:pPr>
      <w:r>
        <w:t>Müssen wir § 16 GrEStG parallel beantragen, um die Korrekturroute zu eröffnen?</w:t>
      </w:r>
    </w:p>
    <w:p>
      <w:pPr>
        <w:pStyle w:val="ListNumber"/>
      </w:pPr>
      <w:r>
        <w:t>Ob unser SPA die Tax-Indemnity zwischen Käuferin und Verkäuferin sauber verteilt -- besonders für die zweite, "zusätzliche" Festsetzung.</w:t>
      </w:r>
    </w:p>
    <w:p>
      <w:pPr>
        <w:pStyle w:val="ListNumber"/>
      </w:pPr>
      <w:r>
        <w:t xml:space="preserve">Was wir dem Mandanten in </w:t>
      </w:r>
      <w:r>
        <w:rPr>
          <w:b/>
        </w:rPr>
        <w:t>fünf Bulletpoints</w:t>
      </w:r>
      <w:r>
        <w:t xml:space="preserve"> sagen.</w:t>
      </w:r>
    </w:p>
    <w:p>
      <w:pPr>
        <w:jc w:val="left"/>
      </w:pPr>
      <w:r>
        <w:t>Bitte keine abstrakte Abhandlung der Norm-Historie. Wir brauchen morgen 10:30 Uhr:</w:t>
      </w:r>
    </w:p>
    <w:p>
      <w:pPr>
        <w:pStyle w:val="ListBullet"/>
      </w:pPr>
      <w:r>
        <w:t>eine kurze Deal-Notiz (max. 2 Seiten),</w:t>
      </w:r>
    </w:p>
    <w:p>
      <w:pPr>
        <w:pStyle w:val="ListBullet"/>
      </w:pPr>
      <w:r>
        <w:t>einen Fristenplan (Excel oder Markdown-Tabelle),</w:t>
      </w:r>
    </w:p>
    <w:p>
      <w:pPr>
        <w:pStyle w:val="ListBullet"/>
      </w:pPr>
      <w:r>
        <w:t>eine Formulierung "Bulletpoints für die Käuferin" (deutsch und englisch).</w:t>
      </w:r>
    </w:p>
    <w:p>
      <w:pPr>
        <w:pStyle w:val="Heading2"/>
      </w:pPr>
      <w:r>
        <w:rPr>
          <w:rFonts w:ascii="Times New Roman" w:hAnsi="Times New Roman"/>
        </w:rPr>
        <w:t>Datenraum</w:t>
      </w:r>
    </w:p>
    <w:p>
      <w:pPr>
        <w:jc w:val="left"/>
      </w:pPr>
      <w:r>
        <w:t>Alle Closing-Unterlagen liegen im VDR "Project Waldkrone" (Datasite, Index Folder 17 -- Tax). Zugang ist eingerichtet. Stichwortverzeichnis dort.</w:t>
      </w:r>
    </w:p>
    <w:p>
      <w:pPr>
        <w:pStyle w:val="Heading2"/>
      </w:pPr>
      <w:r>
        <w:rPr>
          <w:rFonts w:ascii="Times New Roman" w:hAnsi="Times New Roman"/>
        </w:rPr>
        <w:t>Sensibilität</w:t>
      </w:r>
    </w:p>
    <w:p>
      <w:pPr>
        <w:jc w:val="left"/>
      </w:pPr>
      <w:r>
        <w:t>CFO Killeen ist nervös, weil sie Anfang Juni eine Roadshow bei institutionellen Investoren in Frankfurt hat. Sie braucht eine klare Position, ob das GrESt-Thema einen Quartals-Hit auslöst (Q2/2026) oder ob aus AdV-Sicht eine Liquiditätsbelastung vermeidbar ist.</w:t>
      </w:r>
    </w:p>
    <w:p>
      <w:pPr>
        <w:jc w:val="left"/>
      </w:pPr>
      <w:r>
        <w:t>Bitte morgen frühstücksfertig.</w:t>
      </w:r>
    </w:p>
    <w:p>
      <w:pPr>
        <w:jc w:val="left"/>
      </w:pPr>
      <w:r>
        <w:t>Beste Grüße</w:t>
      </w:r>
    </w:p>
    <w:p>
      <w:pPr>
        <w:jc w:val="left"/>
      </w:pPr>
      <w:r>
        <w:rPr>
          <w:b/>
        </w:rPr>
        <w:t>Henriette</w:t>
      </w:r>
    </w:p>
    <w:p>
      <w:pPr>
        <w:jc w:val="left"/>
      </w:pPr>
      <w:r>
        <w:t>--</w:t>
      </w:r>
    </w:p>
    <w:p>
      <w:pPr>
        <w:jc w:val="left"/>
      </w:pPr>
      <w:r>
        <w:t>Dr. Henriette Alvensleben</w:t>
      </w:r>
    </w:p>
    <w:p>
      <w:pPr>
        <w:jc w:val="left"/>
      </w:pPr>
      <w:r>
        <w:t>Partnerin, Corporate / M&amp;A</w:t>
      </w:r>
    </w:p>
    <w:p>
      <w:pPr>
        <w:jc w:val="left"/>
      </w:pPr>
      <w:r>
        <w:t>T +49 69 ... -2204</w:t>
      </w:r>
    </w:p>
    <w:p>
      <w:pPr>
        <w:jc w:val="left"/>
      </w:pPr>
      <w:r>
        <w:t>M +49 173 ...</w:t>
      </w:r>
    </w:p>
    <w:p>
      <w:pPr>
        <w:jc w:val="left"/>
      </w:pPr>
      <w:r>
        <w:t>henriette.alvensleben@alvensleben-kayser-becker.de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