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Dr. med. Silke Brandt</w:t>
            </w:r>
          </w:p>
          <w:p>
            <w:pPr>
              <w:spacing w:after="0"/>
            </w:pPr>
            <w:r>
              <w:rPr>
                <w:rFonts w:ascii="Arial" w:hAnsi="Arial"/>
                <w:sz w:val="19"/>
              </w:rPr>
              <w:t>Hausarztpraxis am Loeperplatz</w:t>
            </w:r>
          </w:p>
          <w:p>
            <w:pPr>
              <w:spacing w:after="0"/>
            </w:pPr>
            <w:r>
              <w:rPr>
                <w:rFonts w:ascii="Arial" w:hAnsi="Arial"/>
                <w:sz w:val="19"/>
              </w:rPr>
              <w:t>Rüdigerstraße 17</w:t>
            </w:r>
          </w:p>
          <w:p>
            <w:pPr>
              <w:spacing w:after="0"/>
            </w:pPr>
            <w:r>
              <w:rPr>
                <w:rFonts w:ascii="Arial" w:hAnsi="Arial"/>
                <w:sz w:val="19"/>
              </w:rPr>
              <w:t>10365 Berlin</w:t>
            </w:r>
          </w:p>
        </w:tc>
        <w:tc>
          <w:tcPr>
            <w:tcW w:type="dxa" w:w="3401"/>
            <w:vAlign w:val="top"/>
          </w:tcPr>
          <w:p>
            <w:pPr>
              <w:spacing w:after="60"/>
              <w:jc w:val="right"/>
            </w:pPr>
            <w:r>
              <w:rPr>
                <w:b/>
              </w:rPr>
              <w:t>Berlin, 24. Juni 2026</w:t>
            </w:r>
          </w:p>
          <w:p>
            <w:pPr>
              <w:spacing w:after="0"/>
              <w:jc w:val="right"/>
            </w:pPr>
            <w:r>
              <w:t>Zeichen: NPA-26-638</w:t>
            </w:r>
          </w:p>
        </w:tc>
      </w:tr>
    </w:tbl>
    <w:p>
      <w:pPr>
        <w:spacing w:after="20"/>
      </w:pPr>
    </w:p>
    <w:p>
      <w:pPr>
        <w:spacing w:before="40" w:after="160"/>
      </w:pPr>
      <w:r>
        <w:rPr>
          <w:b/>
          <w:color w:val="265C76"/>
          <w:sz w:val="24"/>
        </w:rPr>
        <w:t>Arztbrief zu Annette Weiß, geboren am 9. November 1968</w:t>
      </w:r>
      <w:r>
        <w:rPr>
          <w:color w:val="5B666F"/>
          <w:sz w:val="19"/>
        </w:rPr>
        <w:br/>
        <w:t>Vorstellung am 24. Juni 2026 | Versichertennummer A-47-1159</w:t>
      </w:r>
    </w:p>
    <w:p>
      <w:r>
        <w:t>Sehr geehrte Frau Kollegin Brandt,</w:t>
      </w:r>
    </w:p>
    <w:p>
      <w:pPr>
        <w:jc w:val="both"/>
      </w:pPr>
      <w:r>
        <w:t>Frau Weiß stellte sich wegen einer seit dem Frühjahr zunehmenden Gangunsicherheit und wiederholten Stolperereignissen vor. Die seit 2018 bekannte Multiple Sklerose verläuft aktuell ohne bildmorphologischen Hinweis auf einen neuen Schub. Im Vordergrund steht eine ausgeprägte rechtsseitige Fußheberparese mit belastungsabhängiger Zunahme.</w:t>
      </w:r>
    </w:p>
    <w:p>
      <w:pPr>
        <w:pStyle w:val="Heading2"/>
      </w:pPr>
      <w:r>
        <w:t>Befunde</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798"/>
            <w:shd w:fill="E9F0F4"/>
            <w:vAlign w:val="center"/>
          </w:tcPr>
          <w:p>
            <w:pPr>
              <w:spacing w:after="0"/>
              <w:jc w:val="center"/>
            </w:pPr>
            <w:r>
              <w:rPr>
                <w:b/>
                <w:sz w:val="17"/>
              </w:rPr>
              <w:t>Untersuchung</w:t>
            </w:r>
          </w:p>
        </w:tc>
        <w:tc>
          <w:tcPr>
            <w:tcW w:type="dxa" w:w="2494"/>
            <w:shd w:fill="E9F0F4"/>
            <w:vAlign w:val="center"/>
          </w:tcPr>
          <w:p>
            <w:pPr>
              <w:spacing w:after="0"/>
              <w:jc w:val="center"/>
            </w:pPr>
            <w:r>
              <w:rPr>
                <w:b/>
                <w:sz w:val="17"/>
              </w:rPr>
              <w:t>rechts</w:t>
            </w:r>
          </w:p>
        </w:tc>
        <w:tc>
          <w:tcPr>
            <w:tcW w:type="dxa" w:w="2494"/>
            <w:shd w:fill="E9F0F4"/>
            <w:vAlign w:val="center"/>
          </w:tcPr>
          <w:p>
            <w:pPr>
              <w:spacing w:after="0"/>
              <w:jc w:val="center"/>
            </w:pPr>
            <w:r>
              <w:rPr>
                <w:b/>
                <w:sz w:val="17"/>
              </w:rPr>
              <w:t>links</w:t>
            </w:r>
          </w:p>
        </w:tc>
      </w:tr>
      <w:tr>
        <w:tc>
          <w:tcPr>
            <w:tcW w:type="dxa" w:w="3798"/>
            <w:vAlign w:val="center"/>
          </w:tcPr>
          <w:p>
            <w:pPr>
              <w:spacing w:after="0"/>
              <w:jc w:val="center"/>
            </w:pPr>
            <w:r>
              <w:rPr>
                <w:sz w:val="17"/>
              </w:rPr>
              <w:t>Fußhebung nach Janda</w:t>
            </w:r>
          </w:p>
        </w:tc>
        <w:tc>
          <w:tcPr>
            <w:tcW w:type="dxa" w:w="2494"/>
            <w:vAlign w:val="center"/>
          </w:tcPr>
          <w:p>
            <w:pPr>
              <w:spacing w:after="0"/>
              <w:jc w:val="left"/>
            </w:pPr>
            <w:r>
              <w:rPr>
                <w:sz w:val="17"/>
              </w:rPr>
              <w:t>2 bis 3 von 5</w:t>
            </w:r>
          </w:p>
        </w:tc>
        <w:tc>
          <w:tcPr>
            <w:tcW w:type="dxa" w:w="2494"/>
            <w:vAlign w:val="center"/>
          </w:tcPr>
          <w:p>
            <w:pPr>
              <w:spacing w:after="0"/>
              <w:jc w:val="left"/>
            </w:pPr>
            <w:r>
              <w:rPr>
                <w:sz w:val="17"/>
              </w:rPr>
              <w:t>5 von 5</w:t>
            </w:r>
          </w:p>
        </w:tc>
      </w:tr>
      <w:tr>
        <w:tc>
          <w:tcPr>
            <w:tcW w:type="dxa" w:w="3798"/>
            <w:vAlign w:val="center"/>
          </w:tcPr>
          <w:p>
            <w:pPr>
              <w:spacing w:after="0"/>
              <w:jc w:val="center"/>
            </w:pPr>
            <w:r>
              <w:rPr>
                <w:sz w:val="17"/>
              </w:rPr>
              <w:t>Kniestreckung nach Janda</w:t>
            </w:r>
          </w:p>
        </w:tc>
        <w:tc>
          <w:tcPr>
            <w:tcW w:type="dxa" w:w="2494"/>
            <w:vAlign w:val="center"/>
          </w:tcPr>
          <w:p>
            <w:pPr>
              <w:spacing w:after="0"/>
              <w:jc w:val="left"/>
            </w:pPr>
            <w:r>
              <w:rPr>
                <w:sz w:val="17"/>
              </w:rPr>
              <w:t>4 von 5</w:t>
            </w:r>
          </w:p>
        </w:tc>
        <w:tc>
          <w:tcPr>
            <w:tcW w:type="dxa" w:w="2494"/>
            <w:vAlign w:val="center"/>
          </w:tcPr>
          <w:p>
            <w:pPr>
              <w:spacing w:after="0"/>
              <w:jc w:val="left"/>
            </w:pPr>
            <w:r>
              <w:rPr>
                <w:sz w:val="17"/>
              </w:rPr>
              <w:t>5 von 5</w:t>
            </w:r>
          </w:p>
        </w:tc>
      </w:tr>
      <w:tr>
        <w:tc>
          <w:tcPr>
            <w:tcW w:type="dxa" w:w="3798"/>
            <w:vAlign w:val="center"/>
          </w:tcPr>
          <w:p>
            <w:pPr>
              <w:spacing w:after="0"/>
              <w:jc w:val="center"/>
            </w:pPr>
            <w:r>
              <w:rPr>
                <w:sz w:val="17"/>
              </w:rPr>
              <w:t>10-Meter-Gehtest ohne Hilfsmittel</w:t>
            </w:r>
          </w:p>
        </w:tc>
        <w:tc>
          <w:tcPr>
            <w:tcW w:type="dxa" w:w="2494"/>
            <w:vAlign w:val="center"/>
          </w:tcPr>
          <w:p>
            <w:pPr>
              <w:spacing w:after="0"/>
              <w:jc w:val="left"/>
            </w:pPr>
            <w:r>
              <w:rPr>
                <w:sz w:val="17"/>
              </w:rPr>
              <w:t>18,4 Sekunden</w:t>
            </w:r>
          </w:p>
        </w:tc>
        <w:tc>
          <w:tcPr>
            <w:tcW w:type="dxa" w:w="2494"/>
            <w:vAlign w:val="center"/>
          </w:tcPr>
          <w:p>
            <w:pPr>
              <w:spacing w:after="0"/>
              <w:jc w:val="left"/>
            </w:pPr>
            <w:r>
              <w:rPr>
                <w:sz w:val="17"/>
              </w:rPr>
              <w:t>nicht getrennt</w:t>
            </w:r>
          </w:p>
        </w:tc>
      </w:tr>
      <w:tr>
        <w:tc>
          <w:tcPr>
            <w:tcW w:type="dxa" w:w="3798"/>
            <w:vAlign w:val="center"/>
          </w:tcPr>
          <w:p>
            <w:pPr>
              <w:spacing w:after="0"/>
              <w:jc w:val="center"/>
            </w:pPr>
            <w:r>
              <w:rPr>
                <w:sz w:val="17"/>
              </w:rPr>
              <w:t>Gehstrecke bis deutliches Fußschleifen</w:t>
            </w:r>
          </w:p>
        </w:tc>
        <w:tc>
          <w:tcPr>
            <w:tcW w:type="dxa" w:w="2494"/>
            <w:vAlign w:val="center"/>
          </w:tcPr>
          <w:p>
            <w:pPr>
              <w:spacing w:after="0"/>
              <w:jc w:val="left"/>
            </w:pPr>
            <w:r>
              <w:rPr>
                <w:sz w:val="17"/>
              </w:rPr>
              <w:t>31 Meter</w:t>
            </w:r>
          </w:p>
        </w:tc>
        <w:tc>
          <w:tcPr>
            <w:tcW w:type="dxa" w:w="2494"/>
            <w:vAlign w:val="center"/>
          </w:tcPr>
          <w:p>
            <w:pPr>
              <w:spacing w:after="0"/>
              <w:jc w:val="left"/>
            </w:pPr>
            <w:r>
              <w:rPr>
                <w:sz w:val="17"/>
              </w:rPr>
              <w:t>nicht getrennt</w:t>
            </w:r>
          </w:p>
        </w:tc>
      </w:tr>
      <w:tr>
        <w:tc>
          <w:tcPr>
            <w:tcW w:type="dxa" w:w="3798"/>
            <w:vAlign w:val="center"/>
          </w:tcPr>
          <w:p>
            <w:pPr>
              <w:spacing w:after="0"/>
              <w:jc w:val="center"/>
            </w:pPr>
            <w:r>
              <w:rPr>
                <w:sz w:val="17"/>
              </w:rPr>
              <w:t>Hautstatus am lateralen Knöchel</w:t>
            </w:r>
          </w:p>
        </w:tc>
        <w:tc>
          <w:tcPr>
            <w:tcW w:type="dxa" w:w="2494"/>
            <w:vAlign w:val="center"/>
          </w:tcPr>
          <w:p>
            <w:pPr>
              <w:spacing w:after="0"/>
              <w:jc w:val="left"/>
            </w:pPr>
            <w:r>
              <w:rPr>
                <w:sz w:val="17"/>
              </w:rPr>
              <w:t>Druckstelle 2,1 mal 1,4 Zentimeter</w:t>
            </w:r>
          </w:p>
        </w:tc>
        <w:tc>
          <w:tcPr>
            <w:tcW w:type="dxa" w:w="2494"/>
            <w:vAlign w:val="center"/>
          </w:tcPr>
          <w:p>
            <w:pPr>
              <w:spacing w:after="0"/>
              <w:jc w:val="left"/>
            </w:pPr>
            <w:r>
              <w:rPr>
                <w:sz w:val="17"/>
              </w:rPr>
              <w:t>reizlos</w:t>
            </w:r>
          </w:p>
        </w:tc>
      </w:tr>
    </w:tbl>
    <w:p>
      <w:pPr>
        <w:spacing w:after="20"/>
      </w:pPr>
    </w:p>
    <w:p>
      <w:pPr>
        <w:jc w:val="both"/>
      </w:pPr>
      <w:r>
        <w:t>Die bisherige starre Unterschenkelorthese wird seit Mai nur noch stundenweise getragen. Frau Weiß berichtet über Druckschmerz und eine Hautreizung am rechten Außenknöchel. Zwei Stürze am 3. und 17. Juni verliefen ohne Fraktur; beim zweiten Ereignis entstand eine Schürfwunde am rechten Handballen.</w:t>
      </w:r>
    </w:p>
    <w:p>
      <w:pPr>
        <w:jc w:val="both"/>
      </w:pPr>
      <w:r>
        <w:t>Bei einer kurzen Erprobung einer funktionellen Elektrostimulation in der Praxis verbesserte sich das Abrollen sichtbar. Für eine belastbare Beurteilung wurde eine mehrtägige Anpassung durch das Sanitätshaus Lichtenberg &amp; Söhne veranlasst. Die Gehfähigkeit mit und ohne Stimulation soll unter vergleichbaren Bedingungen dokumentiert werden.</w:t>
      </w:r>
    </w:p>
    <w:p>
      <w:pPr>
        <w:jc w:val="both"/>
      </w:pPr>
      <w:r>
        <w:t>Medikation: Dimethylfumarat 240 Milligramm morgens und abends, Baclofen 10 Milligramm morgens und abends, Colecalciferol 2000 I.E. täglich. Allergien sind nicht bekannt. Frau Weiß wohnt im dritten Obergeschoss mit Aufzug; zwischen Hauseingang und Aufzug liegen zwölf Meter ebener Flur.</w:t>
      </w:r>
    </w:p>
    <w:p>
      <w:pPr>
        <w:pStyle w:val="Heading2"/>
      </w:pPr>
      <w:r>
        <w:t>Weiteres Vorgehen</w:t>
      </w:r>
    </w:p>
    <w:p>
      <w:pPr>
        <w:jc w:val="both"/>
      </w:pPr>
      <w:r>
        <w:t>Ich habe eine Versorgungserprobung des dynamischen Fußheber-Systems StepMove D2 mit individuell angepasster Elektrodenmanschette verordnet. Das Sanitätshaus soll Gehstrecken, Geschwindigkeit, Hautverträglichkeit und Bedienbarkeit protokollieren. Wiedervorstellung ist am 14. Juli 2026 um 08:40 Uhr.</w:t>
      </w:r>
    </w:p>
    <w:p>
      <w:pPr>
        <w:spacing w:before="140" w:after="300"/>
      </w:pPr>
      <w:r>
        <w:t>Mit kollegialen Grüßen</w:t>
      </w:r>
    </w:p>
    <w:p>
      <w:pPr>
        <w:spacing w:after="0"/>
      </w:pPr>
      <w:r>
        <w:rPr>
          <w:b/>
        </w:rPr>
        <w:t>Dr. med. Miriam Faber</w:t>
      </w:r>
    </w:p>
    <w:p>
      <w:pPr>
        <w:spacing w:after="0"/>
      </w:pPr>
      <w:r>
        <w:rPr>
          <w:b w:val="0"/>
        </w:rPr>
        <w:t>Fachärztin für Neurologie</w:t>
      </w:r>
    </w:p>
    <w:p>
      <w:pPr>
        <w:spacing w:before="200" w:after="40"/>
      </w:pPr>
      <w:r>
        <w:rPr>
          <w:b/>
        </w:rPr>
        <w:t>Anlagen</w:t>
      </w:r>
    </w:p>
    <w:p>
      <w:pPr>
        <w:pStyle w:val="ListBullet"/>
        <w:spacing w:after="40"/>
        <w:ind w:left="312" w:hanging="142"/>
      </w:pPr>
      <w:r>
        <w:t>Kopie der Verordnung vom 24. Juni 2026</w:t>
      </w:r>
    </w:p>
    <w:p>
      <w:pPr>
        <w:pStyle w:val="ListBullet"/>
        <w:spacing w:after="40"/>
        <w:ind w:left="312" w:hanging="142"/>
      </w:pPr>
      <w:r>
        <w:t>Medikationsplan, Stand 24. Juni 2026</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Neurologische Praxis am Stadtpark | NPA-26-638</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Neurologische Praxis am Stadtpark</w:t>
          </w:r>
        </w:p>
        <w:p>
          <w:pPr>
            <w:spacing w:after="0"/>
          </w:pPr>
          <w:r>
            <w:rPr>
              <w:color w:val="5B666F"/>
              <w:sz w:val="17"/>
            </w:rPr>
            <w:t>Möllendorffstraße 74 | 10367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554918-40</w:t>
            <w:br/>
            <w:t>praxis@neuro-stadtpark.de</w:t>
            <w:br/>
            <w:t>BSNR 729104800</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neurologischer arztbrief fussheberparese</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