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77"/>
        <w:gridCol w:w="4677"/>
      </w:tblGrid>
      <w:tr>
        <w:tc>
          <w:tcPr>
            <w:tcW w:type="dxa" w:w="5839"/>
            <w:vAlign w:val="top"/>
          </w:tcPr>
          <w:p>
            <w:pPr>
              <w:spacing w:after="0"/>
            </w:pPr>
            <w:r>
              <w:rPr>
                <w:rFonts w:ascii="Arial" w:hAnsi="Arial"/>
                <w:sz w:val="19"/>
              </w:rPr>
              <w:t>Frau Dr. med. Miriam Faber</w:t>
            </w:r>
          </w:p>
          <w:p>
            <w:pPr>
              <w:spacing w:after="0"/>
            </w:pPr>
            <w:r>
              <w:rPr>
                <w:rFonts w:ascii="Arial" w:hAnsi="Arial"/>
                <w:sz w:val="19"/>
              </w:rPr>
              <w:t>Neurologische Praxis am Stadtpark</w:t>
            </w:r>
          </w:p>
          <w:p>
            <w:pPr>
              <w:spacing w:after="0"/>
            </w:pPr>
            <w:r>
              <w:rPr>
                <w:rFonts w:ascii="Arial" w:hAnsi="Arial"/>
                <w:sz w:val="19"/>
              </w:rPr>
              <w:t>Möllendorffstraße 74</w:t>
            </w:r>
          </w:p>
          <w:p>
            <w:pPr>
              <w:spacing w:after="0"/>
            </w:pPr>
            <w:r>
              <w:rPr>
                <w:rFonts w:ascii="Arial" w:hAnsi="Arial"/>
                <w:sz w:val="19"/>
              </w:rPr>
              <w:t>10367 Berlin</w:t>
            </w:r>
          </w:p>
        </w:tc>
        <w:tc>
          <w:tcPr>
            <w:tcW w:type="dxa" w:w="3401"/>
            <w:vAlign w:val="top"/>
          </w:tcPr>
          <w:p>
            <w:pPr>
              <w:spacing w:after="60"/>
              <w:jc w:val="right"/>
            </w:pPr>
            <w:r>
              <w:rPr>
                <w:b/>
              </w:rPr>
              <w:t>Berlin, 3. Juli 2026</w:t>
            </w:r>
          </w:p>
          <w:p>
            <w:pPr>
              <w:spacing w:after="0"/>
              <w:jc w:val="right"/>
            </w:pPr>
            <w:r>
              <w:t>Zeichen: LS 26/7718 Weiß</w:t>
            </w:r>
          </w:p>
        </w:tc>
      </w:tr>
    </w:tbl>
    <w:p>
      <w:pPr>
        <w:spacing w:after="20"/>
      </w:pPr>
    </w:p>
    <w:p>
      <w:pPr>
        <w:spacing w:before="40" w:after="160"/>
      </w:pPr>
      <w:r>
        <w:rPr>
          <w:b/>
          <w:color w:val="265C76"/>
          <w:sz w:val="24"/>
        </w:rPr>
        <w:t>Versorgungs- und Gehprotokoll Annette Weiß</w:t>
      </w:r>
      <w:r>
        <w:rPr>
          <w:color w:val="5B666F"/>
          <w:sz w:val="19"/>
        </w:rPr>
        <w:br/>
        <w:t>Erprobung StepMove D2 am 2. Juli 2026</w:t>
      </w:r>
    </w:p>
    <w:p>
      <w:r>
        <w:t>Sehr geehrte Frau Dr. Faber,</w:t>
      </w:r>
    </w:p>
    <w:p>
      <w:pPr>
        <w:jc w:val="both"/>
      </w:pPr>
      <w:r>
        <w:t>entsprechend Ihrer Verordnung vom 24. Juni 2026 wurde Frau Weiß am 2. Juli von 09:10 Uhr bis 11:35 Uhr mit dem Testsystem StepMove D2, Gerätenummer D2-DE-061884, versorgt. Die Manschette wurde am rechten Unterschenkel angepasst; als Schuhwerk dienten die von Frau Weiß mitgebrachten Halbschuhe.</w:t>
      </w:r>
    </w:p>
    <w:tbl>
      <w:tblPr>
        <w:tblStyle w:val="TableGrid"/>
        <w:tblW w:type="auto" w:w="0"/>
        <w:jc w:val="center"/>
        <w:tblLayout w:type="fixed"/>
        <w:tblLook w:firstColumn="1" w:firstRow="1" w:lastColumn="0" w:lastRow="0" w:noHBand="0" w:noVBand="1" w:val="04A0"/>
      </w:tblPr>
      <w:tblGrid>
        <w:gridCol w:w="1871"/>
        <w:gridCol w:w="1871"/>
        <w:gridCol w:w="1871"/>
        <w:gridCol w:w="1871"/>
        <w:gridCol w:w="1871"/>
      </w:tblGrid>
      <w:tr>
        <w:tc>
          <w:tcPr>
            <w:tcW w:type="dxa" w:w="850"/>
            <w:shd w:fill="E9F0F4"/>
            <w:vAlign w:val="center"/>
          </w:tcPr>
          <w:p>
            <w:pPr>
              <w:spacing w:after="0"/>
              <w:jc w:val="center"/>
            </w:pPr>
            <w:r>
              <w:rPr>
                <w:b/>
                <w:sz w:val="17"/>
              </w:rPr>
              <w:t>Durchgang</w:t>
            </w:r>
          </w:p>
        </w:tc>
        <w:tc>
          <w:tcPr>
            <w:tcW w:type="dxa" w:w="2267"/>
            <w:shd w:fill="E9F0F4"/>
            <w:vAlign w:val="center"/>
          </w:tcPr>
          <w:p>
            <w:pPr>
              <w:spacing w:after="0"/>
              <w:jc w:val="center"/>
            </w:pPr>
            <w:r>
              <w:rPr>
                <w:b/>
                <w:sz w:val="17"/>
              </w:rPr>
              <w:t>Hilfsmittel</w:t>
            </w:r>
          </w:p>
        </w:tc>
        <w:tc>
          <w:tcPr>
            <w:tcW w:type="dxa" w:w="1303"/>
            <w:shd w:fill="E9F0F4"/>
            <w:vAlign w:val="center"/>
          </w:tcPr>
          <w:p>
            <w:pPr>
              <w:spacing w:after="0"/>
              <w:jc w:val="center"/>
            </w:pPr>
            <w:r>
              <w:rPr>
                <w:b/>
                <w:sz w:val="17"/>
              </w:rPr>
              <w:t>Strecke</w:t>
            </w:r>
          </w:p>
        </w:tc>
        <w:tc>
          <w:tcPr>
            <w:tcW w:type="dxa" w:w="1303"/>
            <w:shd w:fill="E9F0F4"/>
            <w:vAlign w:val="center"/>
          </w:tcPr>
          <w:p>
            <w:pPr>
              <w:spacing w:after="0"/>
              <w:jc w:val="center"/>
            </w:pPr>
            <w:r>
              <w:rPr>
                <w:b/>
                <w:sz w:val="17"/>
              </w:rPr>
              <w:t>Zeit</w:t>
            </w:r>
          </w:p>
        </w:tc>
        <w:tc>
          <w:tcPr>
            <w:tcW w:type="dxa" w:w="3174"/>
            <w:shd w:fill="E9F0F4"/>
            <w:vAlign w:val="center"/>
          </w:tcPr>
          <w:p>
            <w:pPr>
              <w:spacing w:after="0"/>
              <w:jc w:val="center"/>
            </w:pPr>
            <w:r>
              <w:rPr>
                <w:b/>
                <w:sz w:val="17"/>
              </w:rPr>
              <w:t>Beobachtung</w:t>
            </w:r>
          </w:p>
        </w:tc>
      </w:tr>
      <w:tr>
        <w:tc>
          <w:tcPr>
            <w:tcW w:type="dxa" w:w="850"/>
            <w:vAlign w:val="center"/>
          </w:tcPr>
          <w:p>
            <w:pPr>
              <w:spacing w:after="0"/>
              <w:jc w:val="center"/>
            </w:pPr>
            <w:r>
              <w:rPr>
                <w:sz w:val="17"/>
              </w:rPr>
              <w:t>1</w:t>
            </w:r>
          </w:p>
        </w:tc>
        <w:tc>
          <w:tcPr>
            <w:tcW w:type="dxa" w:w="2267"/>
            <w:vAlign w:val="center"/>
          </w:tcPr>
          <w:p>
            <w:pPr>
              <w:spacing w:after="0"/>
              <w:jc w:val="left"/>
            </w:pPr>
            <w:r>
              <w:rPr>
                <w:sz w:val="17"/>
              </w:rPr>
              <w:t>ohne</w:t>
            </w:r>
          </w:p>
        </w:tc>
        <w:tc>
          <w:tcPr>
            <w:tcW w:type="dxa" w:w="1303"/>
            <w:vAlign w:val="center"/>
          </w:tcPr>
          <w:p>
            <w:pPr>
              <w:spacing w:after="0"/>
              <w:jc w:val="left"/>
            </w:pPr>
            <w:r>
              <w:rPr>
                <w:sz w:val="17"/>
              </w:rPr>
              <w:t>31 Meter</w:t>
            </w:r>
          </w:p>
        </w:tc>
        <w:tc>
          <w:tcPr>
            <w:tcW w:type="dxa" w:w="1303"/>
            <w:vAlign w:val="center"/>
          </w:tcPr>
          <w:p>
            <w:pPr>
              <w:spacing w:after="0"/>
              <w:jc w:val="left"/>
            </w:pPr>
            <w:r>
              <w:rPr>
                <w:sz w:val="17"/>
              </w:rPr>
              <w:t>56 Sekunden</w:t>
            </w:r>
          </w:p>
        </w:tc>
        <w:tc>
          <w:tcPr>
            <w:tcW w:type="dxa" w:w="3174"/>
            <w:vAlign w:val="center"/>
          </w:tcPr>
          <w:p>
            <w:pPr>
              <w:spacing w:after="0"/>
              <w:jc w:val="left"/>
            </w:pPr>
            <w:r>
              <w:rPr>
                <w:sz w:val="17"/>
              </w:rPr>
              <w:t>deutliches Fußschleifen ab 22 Metern; Abbruch</w:t>
            </w:r>
          </w:p>
        </w:tc>
      </w:tr>
      <w:tr>
        <w:tc>
          <w:tcPr>
            <w:tcW w:type="dxa" w:w="850"/>
            <w:vAlign w:val="center"/>
          </w:tcPr>
          <w:p>
            <w:pPr>
              <w:spacing w:after="0"/>
              <w:jc w:val="center"/>
            </w:pPr>
            <w:r>
              <w:rPr>
                <w:sz w:val="17"/>
              </w:rPr>
              <w:t>2</w:t>
            </w:r>
          </w:p>
        </w:tc>
        <w:tc>
          <w:tcPr>
            <w:tcW w:type="dxa" w:w="2267"/>
            <w:vAlign w:val="center"/>
          </w:tcPr>
          <w:p>
            <w:pPr>
              <w:spacing w:after="0"/>
              <w:jc w:val="left"/>
            </w:pPr>
            <w:r>
              <w:rPr>
                <w:sz w:val="17"/>
              </w:rPr>
              <w:t>starre Orthese</w:t>
            </w:r>
          </w:p>
        </w:tc>
        <w:tc>
          <w:tcPr>
            <w:tcW w:type="dxa" w:w="1303"/>
            <w:vAlign w:val="center"/>
          </w:tcPr>
          <w:p>
            <w:pPr>
              <w:spacing w:after="0"/>
              <w:jc w:val="left"/>
            </w:pPr>
            <w:r>
              <w:rPr>
                <w:sz w:val="17"/>
              </w:rPr>
              <w:t>52 Meter</w:t>
            </w:r>
          </w:p>
        </w:tc>
        <w:tc>
          <w:tcPr>
            <w:tcW w:type="dxa" w:w="1303"/>
            <w:vAlign w:val="center"/>
          </w:tcPr>
          <w:p>
            <w:pPr>
              <w:spacing w:after="0"/>
              <w:jc w:val="left"/>
            </w:pPr>
            <w:r>
              <w:rPr>
                <w:sz w:val="17"/>
              </w:rPr>
              <w:t>78 Sekunden</w:t>
            </w:r>
          </w:p>
        </w:tc>
        <w:tc>
          <w:tcPr>
            <w:tcW w:type="dxa" w:w="3174"/>
            <w:vAlign w:val="center"/>
          </w:tcPr>
          <w:p>
            <w:pPr>
              <w:spacing w:after="0"/>
              <w:jc w:val="left"/>
            </w:pPr>
            <w:r>
              <w:rPr>
                <w:sz w:val="17"/>
              </w:rPr>
              <w:t>Druckschmerz Außenknöchel; zwei Pausen</w:t>
            </w:r>
          </w:p>
        </w:tc>
      </w:tr>
      <w:tr>
        <w:tc>
          <w:tcPr>
            <w:tcW w:type="dxa" w:w="850"/>
            <w:vAlign w:val="center"/>
          </w:tcPr>
          <w:p>
            <w:pPr>
              <w:spacing w:after="0"/>
              <w:jc w:val="center"/>
            </w:pPr>
            <w:r>
              <w:rPr>
                <w:sz w:val="17"/>
              </w:rPr>
              <w:t>3</w:t>
            </w:r>
          </w:p>
        </w:tc>
        <w:tc>
          <w:tcPr>
            <w:tcW w:type="dxa" w:w="2267"/>
            <w:vAlign w:val="center"/>
          </w:tcPr>
          <w:p>
            <w:pPr>
              <w:spacing w:after="0"/>
              <w:jc w:val="left"/>
            </w:pPr>
            <w:r>
              <w:rPr>
                <w:sz w:val="17"/>
              </w:rPr>
              <w:t>StepMove D2, Stufe 3</w:t>
            </w:r>
          </w:p>
        </w:tc>
        <w:tc>
          <w:tcPr>
            <w:tcW w:type="dxa" w:w="1303"/>
            <w:vAlign w:val="center"/>
          </w:tcPr>
          <w:p>
            <w:pPr>
              <w:spacing w:after="0"/>
              <w:jc w:val="left"/>
            </w:pPr>
            <w:r>
              <w:rPr>
                <w:sz w:val="17"/>
              </w:rPr>
              <w:t>74 Meter</w:t>
            </w:r>
          </w:p>
        </w:tc>
        <w:tc>
          <w:tcPr>
            <w:tcW w:type="dxa" w:w="1303"/>
            <w:vAlign w:val="center"/>
          </w:tcPr>
          <w:p>
            <w:pPr>
              <w:spacing w:after="0"/>
              <w:jc w:val="left"/>
            </w:pPr>
            <w:r>
              <w:rPr>
                <w:sz w:val="17"/>
              </w:rPr>
              <w:t>89 Sekunden</w:t>
            </w:r>
          </w:p>
        </w:tc>
        <w:tc>
          <w:tcPr>
            <w:tcW w:type="dxa" w:w="3174"/>
            <w:vAlign w:val="center"/>
          </w:tcPr>
          <w:p>
            <w:pPr>
              <w:spacing w:after="0"/>
              <w:jc w:val="left"/>
            </w:pPr>
            <w:r>
              <w:rPr>
                <w:sz w:val="17"/>
              </w:rPr>
              <w:t>gleichmäßigeres Abrollen; kein Stolpern</w:t>
            </w:r>
          </w:p>
        </w:tc>
      </w:tr>
      <w:tr>
        <w:tc>
          <w:tcPr>
            <w:tcW w:type="dxa" w:w="850"/>
            <w:vAlign w:val="center"/>
          </w:tcPr>
          <w:p>
            <w:pPr>
              <w:spacing w:after="0"/>
              <w:jc w:val="center"/>
            </w:pPr>
            <w:r>
              <w:rPr>
                <w:sz w:val="17"/>
              </w:rPr>
              <w:t>4</w:t>
            </w:r>
          </w:p>
        </w:tc>
        <w:tc>
          <w:tcPr>
            <w:tcW w:type="dxa" w:w="2267"/>
            <w:vAlign w:val="center"/>
          </w:tcPr>
          <w:p>
            <w:pPr>
              <w:spacing w:after="0"/>
              <w:jc w:val="left"/>
            </w:pPr>
            <w:r>
              <w:rPr>
                <w:sz w:val="17"/>
              </w:rPr>
              <w:t>StepMove D2, Stufe 4</w:t>
            </w:r>
          </w:p>
        </w:tc>
        <w:tc>
          <w:tcPr>
            <w:tcW w:type="dxa" w:w="1303"/>
            <w:vAlign w:val="center"/>
          </w:tcPr>
          <w:p>
            <w:pPr>
              <w:spacing w:after="0"/>
              <w:jc w:val="left"/>
            </w:pPr>
            <w:r>
              <w:rPr>
                <w:sz w:val="17"/>
              </w:rPr>
              <w:t>74 Meter</w:t>
            </w:r>
          </w:p>
        </w:tc>
        <w:tc>
          <w:tcPr>
            <w:tcW w:type="dxa" w:w="1303"/>
            <w:vAlign w:val="center"/>
          </w:tcPr>
          <w:p>
            <w:pPr>
              <w:spacing w:after="0"/>
              <w:jc w:val="left"/>
            </w:pPr>
            <w:r>
              <w:rPr>
                <w:sz w:val="17"/>
              </w:rPr>
              <w:t>83 Sekunden</w:t>
            </w:r>
          </w:p>
        </w:tc>
        <w:tc>
          <w:tcPr>
            <w:tcW w:type="dxa" w:w="3174"/>
            <w:vAlign w:val="center"/>
          </w:tcPr>
          <w:p>
            <w:pPr>
              <w:spacing w:after="0"/>
              <w:jc w:val="left"/>
            </w:pPr>
            <w:r>
              <w:rPr>
                <w:sz w:val="17"/>
              </w:rPr>
              <w:t>selbstständiger Richtungswechsel; Zuggefühl</w:t>
            </w:r>
          </w:p>
        </w:tc>
      </w:tr>
      <w:tr>
        <w:tc>
          <w:tcPr>
            <w:tcW w:type="dxa" w:w="850"/>
            <w:vAlign w:val="center"/>
          </w:tcPr>
          <w:p>
            <w:pPr>
              <w:spacing w:after="0"/>
              <w:jc w:val="center"/>
            </w:pPr>
            <w:r>
              <w:rPr>
                <w:sz w:val="17"/>
              </w:rPr>
              <w:t>5</w:t>
            </w:r>
          </w:p>
        </w:tc>
        <w:tc>
          <w:tcPr>
            <w:tcW w:type="dxa" w:w="2267"/>
            <w:vAlign w:val="center"/>
          </w:tcPr>
          <w:p>
            <w:pPr>
              <w:spacing w:after="0"/>
              <w:jc w:val="left"/>
            </w:pPr>
            <w:r>
              <w:rPr>
                <w:sz w:val="17"/>
              </w:rPr>
              <w:t>StepMove D2 nach 25 Minuten</w:t>
            </w:r>
          </w:p>
        </w:tc>
        <w:tc>
          <w:tcPr>
            <w:tcW w:type="dxa" w:w="1303"/>
            <w:vAlign w:val="center"/>
          </w:tcPr>
          <w:p>
            <w:pPr>
              <w:spacing w:after="0"/>
              <w:jc w:val="left"/>
            </w:pPr>
            <w:r>
              <w:rPr>
                <w:sz w:val="17"/>
              </w:rPr>
              <w:t>60 Meter</w:t>
            </w:r>
          </w:p>
        </w:tc>
        <w:tc>
          <w:tcPr>
            <w:tcW w:type="dxa" w:w="1303"/>
            <w:vAlign w:val="center"/>
          </w:tcPr>
          <w:p>
            <w:pPr>
              <w:spacing w:after="0"/>
              <w:jc w:val="left"/>
            </w:pPr>
            <w:r>
              <w:rPr>
                <w:sz w:val="17"/>
              </w:rPr>
              <w:t>70 Sekunden</w:t>
            </w:r>
          </w:p>
        </w:tc>
        <w:tc>
          <w:tcPr>
            <w:tcW w:type="dxa" w:w="3174"/>
            <w:vAlign w:val="center"/>
          </w:tcPr>
          <w:p>
            <w:pPr>
              <w:spacing w:after="0"/>
              <w:jc w:val="left"/>
            </w:pPr>
            <w:r>
              <w:rPr>
                <w:sz w:val="17"/>
              </w:rPr>
              <w:t>Haut leicht gerötet, keine offene Stelle</w:t>
            </w:r>
          </w:p>
        </w:tc>
      </w:tr>
    </w:tbl>
    <w:p>
      <w:pPr>
        <w:spacing w:after="20"/>
      </w:pPr>
    </w:p>
    <w:p>
      <w:pPr>
        <w:jc w:val="both"/>
      </w:pPr>
      <w:r>
        <w:t>Frau Weiß konnte die Manschette nach zweimaliger Anleitung selbst anlegen. Beim ersten Versuch lag die Elektrode zu weit dorsal; nach Korrektur gelang die Positionierung. Das Ein- und Ausschalten sowie der Wechsel zwischen Stufe 3 und 4 wurden sicher durchgeführt. Das Treppensteigen wurde nicht geprüft, weil im Anpassungsbereich keine geeignete Treppe zur Verfügung stand.</w:t>
      </w:r>
    </w:p>
    <w:p>
      <w:pPr>
        <w:jc w:val="both"/>
      </w:pPr>
      <w:r>
        <w:t>Vor der Anpassung bestand am rechten Außenknöchel eine reizlose Druckstelle von ungefähr zwei Zentimetern Länge. Nach der letzten Gehprobe zeigte sich eine flächige Rötung unter der oberen Elektrodenkante, die nach zwölf Minuten deutlich abblasste. Frau Weiß erhielt die Anweisung, die Haut nach jeder Nutzung zu kontrollieren und das System bei anhaltender Rötung abzulegen.</w:t>
      </w:r>
    </w:p>
    <w:p>
      <w:pPr>
        <w:jc w:val="both"/>
      </w:pPr>
      <w:r>
        <w:t>Das Testgerät wurde bis zum 16. Juli 2026 überlassen. Es bleibt Eigentum des Sanitätshauses; eine Bestellung oder endgültige Abgabe ist nicht erfolgt. Für die ärztliche Kontrolle am 14. Juli stellen wir das Gerät weiterhin zur Verfügung, sofern die Rückgabe schriftlich bis zum 15. Juli bestätigt wird.</w:t>
      </w:r>
    </w:p>
    <w:p>
      <w:pPr>
        <w:spacing w:before="140" w:after="300"/>
      </w:pPr>
      <w:r>
        <w:t>Mit freundlichen Grüßen</w:t>
      </w:r>
    </w:p>
    <w:p>
      <w:pPr>
        <w:spacing w:after="0"/>
      </w:pPr>
      <w:r>
        <w:rPr>
          <w:b/>
        </w:rPr>
        <w:t>Jens Groß</w:t>
      </w:r>
    </w:p>
    <w:p>
      <w:pPr>
        <w:spacing w:after="0"/>
      </w:pPr>
      <w:r>
        <w:rPr>
          <w:b w:val="0"/>
        </w:rPr>
        <w:t>Orthopädietechnikermeister</w:t>
      </w:r>
    </w:p>
    <w:p>
      <w:pPr>
        <w:spacing w:before="200" w:after="40"/>
      </w:pPr>
      <w:r>
        <w:rPr>
          <w:b/>
        </w:rPr>
        <w:t>Anlagen</w:t>
      </w:r>
    </w:p>
    <w:p>
      <w:pPr>
        <w:pStyle w:val="ListBullet"/>
        <w:spacing w:after="40"/>
        <w:ind w:left="312" w:hanging="142"/>
      </w:pPr>
      <w:r>
        <w:t>Messblatt Gehversuche</w:t>
      </w:r>
    </w:p>
    <w:p>
      <w:pPr>
        <w:pStyle w:val="ListBullet"/>
        <w:spacing w:after="40"/>
        <w:ind w:left="312" w:hanging="142"/>
      </w:pPr>
      <w:r>
        <w:t>Geräteausgabeschein D2-DE-061884</w:t>
      </w:r>
    </w:p>
    <w:sectPr w:rsidR="00FC693F" w:rsidRPr="0006063C" w:rsidSect="00034616">
      <w:headerReference w:type="default" r:id="rId9"/>
      <w:footerReference w:type="default" r:id="rId10"/>
      <w:pgSz w:w="11906" w:h="16838"/>
      <w:pgMar w:top="1247" w:right="1219" w:bottom="1134"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5B666F"/>
        <w:sz w:val="16"/>
      </w:rPr>
      <w:t>Sanitätshaus Lichtenberg &amp; Söhne GmbH | LS 26/7718 Weiß</w:t>
    </w:r>
  </w:p>
  <w:p>
    <w:pPr>
      <w:jc w:val="right"/>
    </w:pPr>
    <w:r>
      <w:rPr>
        <w:sz w:val="16"/>
      </w:rPr>
      <w:t xml:space="preserve">Seite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4677"/>
      <w:gridCol w:w="4677"/>
    </w:tblGrid>
    <w:tr>
      <w:tc>
        <w:tcPr>
          <w:tcW w:type="dxa" w:w="5782"/>
          <w:vAlign w:val="center"/>
          <w:tcMar>
            <w:top w:w="80" w:type="dxa"/>
            <w:start w:w="80" w:type="dxa"/>
            <w:bottom w:w="80" w:type="dxa"/>
            <w:end w:w="80" w:type="dxa"/>
          </w:tcMar>
        </w:tcPr>
        <w:p>
          <w:pPr>
            <w:spacing w:after="20"/>
          </w:pPr>
          <w:r>
            <w:rPr>
              <w:rFonts w:ascii="Arial" w:hAnsi="Arial"/>
              <w:b/>
              <w:color w:val="265C76"/>
              <w:sz w:val="26"/>
            </w:rPr>
            <w:t>Sanitätshaus Lichtenberg &amp; Söhne GmbH</w:t>
          </w:r>
        </w:p>
        <w:p>
          <w:pPr>
            <w:spacing w:after="0"/>
          </w:pPr>
          <w:r>
            <w:rPr>
              <w:color w:val="5B666F"/>
              <w:sz w:val="17"/>
            </w:rPr>
            <w:t>Frankfurter Allee 144 | 10365 Berlin</w:t>
          </w:r>
        </w:p>
      </w:tc>
      <w:tc>
        <w:tcPr>
          <w:tcW w:type="dxa" w:w="3571"/>
          <w:vAlign w:val="center"/>
          <w:tcMar>
            <w:top w:w="80" w:type="dxa"/>
            <w:start w:w="80" w:type="dxa"/>
            <w:bottom w:w="80" w:type="dxa"/>
            <w:end w:w="80" w:type="dxa"/>
          </w:tcMar>
        </w:tcPr>
        <w:p>
          <w:pPr>
            <w:spacing w:after="0"/>
            <w:jc w:val="right"/>
          </w:pPr>
          <w:r>
            <w:rPr>
              <w:rFonts w:ascii="Arial" w:hAnsi="Arial"/>
              <w:color w:val="5B666F"/>
              <w:sz w:val="17"/>
            </w:rPr>
            <w:t>030 551884-0</w:t>
            <w:br/>
            <w:t>versorgung@lichtenberg-soehne.de</w:t>
            <w:br/>
            <w:t>IK 330112907</w:t>
          </w:r>
        </w:p>
      </w:tc>
    </w:tr>
  </w:tbl>
  <w:p>
    <w:pPr>
      <w:spacing w:before="20" w:after="0"/>
      <w:pBdr>
        <w:bottom w:val="single" w:sz="8" w:space="1" w:color="265C76"/>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202F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265C76"/>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65C7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 sanitaetshaus gehprotokoll stepmove</dc:title>
  <dc:subject>Originalunterlage</dc:subject>
  <dc:creator>Aktenaussteller</dc:creator>
  <cp:keywords/>
  <dc:description>generated by python-docx</dc:description>
  <cp:lastModifiedBy/>
  <cp:revision>1</cp:revision>
  <dcterms:created xsi:type="dcterms:W3CDTF">2013-12-23T23:15:00Z</dcterms:created>
  <dcterms:modified xsi:type="dcterms:W3CDTF">2013-12-23T23:15:00Z</dcterms:modified>
  <cp:category/>
</cp:coreProperties>
</file>