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Gründungsnotiz</w:t>
      </w:r>
    </w:p>
    <w:p>
      <w:pPr>
        <w:jc w:val="left"/>
      </w:pPr>
      <w:r>
        <w:rPr>
          <w:b/>
        </w:rPr>
        <w:t>Datum:</w:t>
      </w:r>
      <w:r>
        <w:t xml:space="preserve"> 14.03.2026 (Kernteamtreffen Gemeindehalle Waldmoor)</w:t>
      </w:r>
    </w:p>
    <w:p>
      <w:pPr>
        <w:jc w:val="left"/>
      </w:pPr>
      <w:r>
        <w:rPr>
          <w:b/>
        </w:rPr>
        <w:t>Protokoll:</w:t>
      </w:r>
      <w:r>
        <w:t xml:space="preserve"> Greta Mohn</w:t>
      </w:r>
    </w:p>
    <w:p>
      <w:pPr>
        <w:pStyle w:val="Heading2"/>
      </w:pPr>
      <w:r>
        <w:rPr>
          <w:rFonts w:ascii="Times New Roman" w:hAnsi="Times New Roman"/>
        </w:rPr>
        <w:t>Selbstverständnis</w:t>
      </w:r>
    </w:p>
    <w:p>
      <w:pPr>
        <w:jc w:val="left"/>
      </w:pPr>
      <w:r>
        <w:t>Die Initiative ist kein Verein und keine Stiftung. Eine Gründung als e.V. wurde am 14.03.2026 ausdrücklich abgelehnt, weil das Kernteam keine Vorstandshaftung tragen will und die Mitgliederzahl mit aktuell 23 unterzeichneten Erklärungen unter den sieben Gründungspersonen schwankt.</w:t>
      </w:r>
    </w:p>
    <w:p>
      <w:pPr>
        <w:jc w:val="left"/>
      </w:pPr>
      <w:r>
        <w:t>Es gibt:</w:t>
      </w:r>
    </w:p>
    <w:p>
      <w:pPr>
        <w:pStyle w:val="ListBullet"/>
      </w:pPr>
      <w:r>
        <w:t>ein Kernteam aus sieben Personen, das die operativen Entscheidungen trifft;</w:t>
      </w:r>
    </w:p>
    <w:p>
      <w:pPr>
        <w:pStyle w:val="ListBullet"/>
      </w:pPr>
      <w:r>
        <w:t>ein offenes Plenum, das einmal monatlich tagt (zuletzt 28.04.2026, 19:00 Uhr, Gasthaus Zum Moorlicht);</w:t>
      </w:r>
    </w:p>
    <w:p>
      <w:pPr>
        <w:pStyle w:val="ListBullet"/>
      </w:pPr>
      <w:r>
        <w:t>ein Spendenkonto bei der Gemeinde-Treuhand Waldmoor, geführt auf den Namen "Treuhandkonto Buergerinitiative Waldmoor 2030 c/o Greta Mohn";</w:t>
      </w:r>
    </w:p>
    <w:p>
      <w:pPr>
        <w:pStyle w:val="ListBullet"/>
      </w:pPr>
      <w:r>
        <w:t>ein gemeinsames E-Mail-Postfach &lt;kontakt@waldmoor2030.de&gt; mit drei Schlüsselinhaberinnen.</w:t>
      </w:r>
    </w:p>
    <w:p>
      <w:pPr>
        <w:pStyle w:val="Heading2"/>
      </w:pPr>
      <w:r>
        <w:rPr>
          <w:rFonts w:ascii="Times New Roman" w:hAnsi="Times New Roman"/>
        </w:rPr>
        <w:t>Sprecherinnen und Sprecher</w:t>
      </w:r>
    </w:p>
    <w:p>
      <w:pPr>
        <w:pStyle w:val="ListBullet"/>
      </w:pPr>
      <w:r>
        <w:rPr>
          <w:b/>
        </w:rPr>
        <w:t>Luise Barmbek</w:t>
      </w:r>
      <w:r>
        <w:t>, Diplom-Forstwirtin, Waldmoor, koordiniert Pressearbeit und Bundestagsschriftverkehr.</w:t>
      </w:r>
    </w:p>
    <w:p>
      <w:pPr>
        <w:pStyle w:val="ListBullet"/>
      </w:pPr>
      <w:r>
        <w:rPr>
          <w:b/>
        </w:rPr>
        <w:t>Navid Sahin</w:t>
      </w:r>
      <w:r>
        <w:t>, Architekt, Wendelheim, führt fachliche Gespräche mit Behörden und Planungsbüros.</w:t>
      </w:r>
    </w:p>
    <w:p>
      <w:pPr>
        <w:jc w:val="left"/>
      </w:pPr>
      <w:r>
        <w:t>Beide sind nach internem Beschluss vom 14.03.2026 sprechbefugt, aber ohne Vertretungsmacht für Rechtsgeschäfte über 500 EUR. Diese Grenze ist nicht öffentlich kommuniziert.</w:t>
      </w:r>
    </w:p>
    <w:p>
      <w:pPr>
        <w:pStyle w:val="Heading2"/>
      </w:pPr>
      <w:r>
        <w:rPr>
          <w:rFonts w:ascii="Times New Roman" w:hAnsi="Times New Roman"/>
        </w:rPr>
        <w:t>Prüfbedarf</w:t>
      </w:r>
    </w:p>
    <w:p>
      <w:pPr>
        <w:jc w:val="left"/>
      </w:pPr>
      <w:r>
        <w:t>Ist die Initiative eine sonstige Organisation im Sinne des § 1 Abs. 4 LobbyRG, obwohl es weder Satzung noch Rechtspersönlichkeit gibt? Greift die Bürgerausnahme nach § 2 Abs. 4 LobbyRG nur für Petitionen oder auch für die nachfolgende Kampagne? Reicht die rein interne Sprechbefugnis aus, um die Initiative als handlungsfähig im Lobbyregister abzubilden?</w:t>
      </w:r>
    </w:p>
    <w:p>
      <w:pPr>
        <w:pStyle w:val="Heading2"/>
      </w:pPr>
      <w:r>
        <w:rPr>
          <w:rFonts w:ascii="Times New Roman" w:hAnsi="Times New Roman"/>
        </w:rPr>
        <w:t>Offene Punkte aus dem Plenum</w:t>
      </w:r>
    </w:p>
    <w:p>
      <w:pPr>
        <w:pStyle w:val="ListBullet"/>
      </w:pPr>
      <w:r>
        <w:t>Hildegard Quast (32 Unterstützungserklärungen) verlangt eine Mitgliederversammlung. Das Kernteam lehnt das ab; eine schriftliche Beschwerde liegt vor.</w:t>
      </w:r>
    </w:p>
    <w:p>
      <w:pPr>
        <w:pStyle w:val="ListBullet"/>
      </w:pPr>
      <w:r>
        <w:t>Paul Seeger schlägt vor, das Spendenkonto auf eine Treuhandstelle eines Naturschutzvereins zu verlagern. Greta Mohn warnt vor steuerlichen Folgen.</w:t>
      </w:r>
    </w:p>
    <w:p>
      <w:pPr>
        <w:pStyle w:val="ListBullet"/>
      </w:pPr>
      <w:r>
        <w:t>Die Frage, ob das Plenum oder das Kernteam über die Annahme der Windpark-Spende entscheidet, ist nicht geklärt.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