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Registerexport-Diff: R009814 Emerald Liffey Bank plc</w:t>
      </w:r>
    </w:p>
    <w:p>
      <w:pPr>
        <w:pStyle w:val="Heading2"/>
      </w:pPr>
      <w:r>
        <w:rPr>
          <w:rFonts w:ascii="Times New Roman" w:hAnsi="Times New Roman"/>
        </w:rPr>
        <w:t>Abgleich</w:t>
      </w:r>
    </w:p>
    <w:p>
      <w:pPr>
        <w:pStyle w:val="ListBullet"/>
      </w:pPr>
      <w:r>
        <w:t>Interne Freigabeakte: ELB-LR-2026-05</w:t>
      </w:r>
    </w:p>
    <w:p>
      <w:pPr>
        <w:pStyle w:val="ListBullet"/>
      </w:pPr>
      <w:r>
        <w:t>Portalaktion: Erstregistrierung Dublin-plc, Frankfurt nur als unselbstständige Zweigniederlassung</w:t>
      </w:r>
    </w:p>
    <w:p>
      <w:pPr>
        <w:pStyle w:val="ListBullet"/>
      </w:pPr>
      <w:r>
        <w:t>Veröffentlichter Registereintrag: R009814</w:t>
      </w:r>
    </w:p>
    <w:p>
      <w:pPr>
        <w:pStyle w:val="ListBullet"/>
      </w:pPr>
      <w:r>
        <w:t>API-Abruf: 02.06.2026, 09:17 Uhr</w:t>
      </w:r>
    </w:p>
    <w:p>
      <w:pPr>
        <w:pStyle w:val="ListBullet"/>
      </w:pPr>
      <w:r>
        <w:t>sourceDate</w:t>
      </w:r>
      <w:r>
        <w:t>: 2026-06-02T09:17:22.184+02:00</w:t>
      </w:r>
    </w:p>
    <w:p>
      <w:pPr>
        <w:pStyle w:val="ListBullet"/>
      </w:pPr>
      <w:r>
        <w:t>Version: 1</w:t>
      </w:r>
    </w:p>
    <w:p>
      <w:pPr>
        <w:pStyle w:val="ListBullet"/>
      </w:pPr>
      <w:r>
        <w:t>Bearbeitung: RAin Dr. Mareike Tamm und Orlaine Keating</w:t>
      </w:r>
    </w:p>
    <w:p>
      <w:pPr>
        <w:pStyle w:val="Heading2"/>
      </w:pPr>
      <w:r>
        <w:rPr>
          <w:rFonts w:ascii="Times New Roman" w:hAnsi="Times New Roman"/>
        </w:rPr>
        <w:t>Kurzbefund</w:t>
      </w:r>
    </w:p>
    <w:p>
      <w:pPr>
        <w:jc w:val="left"/>
      </w:pPr>
      <w:r>
        <w:t>Der öffentliche Eintrag bildet die Dublin-plc als einheitliche Organisation ab. Die Frankfurter Zweigniederlassung erscheint als weitere Adresse und in der Tätigkeitsbeschreibung, nicht als zweiter Rechtsträger. Das ist konsistent mit dem Primaerentwurf und verhindert eine irreführende Doppelzählung der Finanzaufwendungen.</w:t>
      </w:r>
    </w:p>
    <w:p>
      <w:pPr>
        <w:jc w:val="left"/>
      </w:pPr>
      <w:r>
        <w:t xml:space="preserve">Die Abfrage </w:t>
      </w:r>
      <w:r>
        <w:t>Emerald Liffey Frankfurt</w:t>
      </w:r>
      <w:r>
        <w:t xml:space="preserve"> liefert denselben Eintrag R009814. Die Abfrage </w:t>
      </w:r>
      <w:r>
        <w:t>Emerald Liffey Bank Zweigniederlassung</w:t>
      </w:r>
      <w:r>
        <w:t xml:space="preserve"> liefert keinen eigenen zweiten Eintrag.</w:t>
      </w:r>
    </w:p>
    <w:p>
      <w:pPr>
        <w:pStyle w:val="Heading2"/>
      </w:pPr>
      <w:r>
        <w:rPr>
          <w:rFonts w:ascii="Times New Roman" w:hAnsi="Times New Roman"/>
        </w:rPr>
        <w:t>Feldvergleich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Bereich</w:t>
            </w:r>
          </w:p>
        </w:tc>
        <w:tc>
          <w:tcPr>
            <w:tcW w:type="dxa" w:w="1814"/>
          </w:tcPr>
          <w:p>
            <w:r>
              <w:rPr>
                <w:rFonts w:ascii="Times New Roman" w:hAnsi="Times New Roman"/>
                <w:b/>
                <w:sz w:val="20"/>
              </w:rPr>
              <w:t>Interne Freigabe</w:t>
            </w:r>
          </w:p>
        </w:tc>
        <w:tc>
          <w:tcPr>
            <w:tcW w:type="dxa" w:w="1814"/>
          </w:tcPr>
          <w:p>
            <w:r>
              <w:rPr>
                <w:rFonts w:ascii="Times New Roman" w:hAnsi="Times New Roman"/>
                <w:b/>
                <w:sz w:val="20"/>
              </w:rPr>
              <w:t>API/API-Export</w:t>
            </w:r>
          </w:p>
        </w:tc>
        <w:tc>
          <w:tcPr>
            <w:tcW w:type="dxa" w:w="1814"/>
          </w:tcPr>
          <w:p>
            <w:r>
              <w:rPr>
                <w:rFonts w:ascii="Times New Roman" w:hAnsi="Times New Roman"/>
                <w:b/>
                <w:sz w:val="20"/>
              </w:rPr>
              <w:t>Bewertung</w:t>
            </w:r>
          </w:p>
        </w:tc>
        <w:tc>
          <w:tcPr>
            <w:tcW w:type="dxa" w:w="1814"/>
          </w:tcPr>
          <w:p>
            <w:r>
              <w:rPr>
                <w:rFonts w:ascii="Times New Roman" w:hAnsi="Times New Roman"/>
                <w:b/>
                <w:sz w:val="20"/>
              </w:rPr>
              <w:t>Aktion</w:t>
            </w:r>
          </w:p>
        </w:tc>
      </w:tr>
      <w:tr>
        <w:tc>
          <w:tcPr>
            <w:tcW w:type="dxa" w:w="1814"/>
          </w:tcPr>
          <w:p>
            <w:r>
              <w:rPr>
                <w:rFonts w:ascii="Times New Roman" w:hAnsi="Times New Roman"/>
                <w:sz w:val="20"/>
              </w:rPr>
              <w:t>Rechtsträger</w:t>
            </w:r>
          </w:p>
        </w:tc>
        <w:tc>
          <w:tcPr>
            <w:tcW w:type="dxa" w:w="1814"/>
          </w:tcPr>
          <w:p>
            <w:r>
              <w:rPr>
                <w:rFonts w:ascii="Times New Roman" w:hAnsi="Times New Roman"/>
                <w:sz w:val="20"/>
              </w:rPr>
              <w:t>Emerald Liffey Bank plc, Dublin</w:t>
            </w:r>
          </w:p>
        </w:tc>
        <w:tc>
          <w:tcPr>
            <w:tcW w:type="dxa" w:w="1814"/>
          </w:tcPr>
          <w:p>
            <w:r>
              <w:rPr>
                <w:rFonts w:ascii="Times New Roman" w:hAnsi="Times New Roman"/>
                <w:sz w:val="20"/>
              </w:rPr>
              <w:t>companyName</w:t>
            </w:r>
            <w:r>
              <w:rPr>
                <w:rFonts w:ascii="Times New Roman" w:hAnsi="Times New Roman"/>
                <w:sz w:val="20"/>
              </w:rPr>
              <w:t xml:space="preserve"> Emerald Liffey Bank plc</w:t>
            </w:r>
          </w:p>
        </w:tc>
        <w:tc>
          <w:tcPr>
            <w:tcW w:type="dxa" w:w="1814"/>
          </w:tcPr>
          <w:p>
            <w:r>
              <w:rPr>
                <w:rFonts w:ascii="Times New Roman" w:hAnsi="Times New Roman"/>
                <w:sz w:val="20"/>
              </w:rPr>
              <w:t>Grün</w:t>
            </w:r>
          </w:p>
        </w:tc>
        <w:tc>
          <w:tcPr>
            <w:tcW w:type="dxa" w:w="1814"/>
          </w:tcPr>
          <w:p>
            <w:r>
              <w:rPr>
                <w:rFonts w:ascii="Times New Roman" w:hAnsi="Times New Roman"/>
                <w:sz w:val="20"/>
              </w:rPr>
              <w:t>keine</w:t>
            </w:r>
          </w:p>
        </w:tc>
      </w:tr>
      <w:tr>
        <w:tc>
          <w:tcPr>
            <w:tcW w:type="dxa" w:w="1814"/>
          </w:tcPr>
          <w:p>
            <w:r>
              <w:rPr>
                <w:rFonts w:ascii="Times New Roman" w:hAnsi="Times New Roman"/>
                <w:sz w:val="20"/>
              </w:rPr>
              <w:t>Zweigniederlassung</w:t>
            </w:r>
          </w:p>
        </w:tc>
        <w:tc>
          <w:tcPr>
            <w:tcW w:type="dxa" w:w="1814"/>
          </w:tcPr>
          <w:p>
            <w:r>
              <w:rPr>
                <w:rFonts w:ascii="Times New Roman" w:hAnsi="Times New Roman"/>
                <w:sz w:val="20"/>
              </w:rPr>
              <w:t>Frankfurt sichtbar, nicht eigener Rechtsträger</w:t>
            </w:r>
          </w:p>
        </w:tc>
        <w:tc>
          <w:tcPr>
            <w:tcW w:type="dxa" w:w="1814"/>
          </w:tcPr>
          <w:p>
            <w:r>
              <w:rPr>
                <w:rFonts w:ascii="Times New Roman" w:hAnsi="Times New Roman"/>
                <w:sz w:val="20"/>
              </w:rPr>
              <w:t>weitere Adresse und Tätigkeitsbeschreibung</w:t>
            </w:r>
          </w:p>
        </w:tc>
        <w:tc>
          <w:tcPr>
            <w:tcW w:type="dxa" w:w="1814"/>
          </w:tcPr>
          <w:p>
            <w:r>
              <w:rPr>
                <w:rFonts w:ascii="Times New Roman" w:hAnsi="Times New Roman"/>
                <w:sz w:val="20"/>
              </w:rPr>
              <w:t>Grün</w:t>
            </w:r>
          </w:p>
        </w:tc>
        <w:tc>
          <w:tcPr>
            <w:tcW w:type="dxa" w:w="1814"/>
          </w:tcPr>
          <w:p>
            <w:r>
              <w:rPr>
                <w:rFonts w:ascii="Times New Roman" w:hAnsi="Times New Roman"/>
                <w:sz w:val="20"/>
              </w:rPr>
              <w:t>Screenshot Detailseite sichern</w:t>
            </w:r>
          </w:p>
        </w:tc>
      </w:tr>
      <w:tr>
        <w:tc>
          <w:tcPr>
            <w:tcW w:type="dxa" w:w="1814"/>
          </w:tcPr>
          <w:p>
            <w:r>
              <w:rPr>
                <w:rFonts w:ascii="Times New Roman" w:hAnsi="Times New Roman"/>
                <w:sz w:val="20"/>
              </w:rPr>
              <w:t>Aktivstatus</w:t>
            </w:r>
          </w:p>
        </w:tc>
        <w:tc>
          <w:tcPr>
            <w:tcW w:type="dxa" w:w="1814"/>
          </w:tcPr>
          <w:p>
            <w:r>
              <w:rPr>
                <w:rFonts w:ascii="Times New Roman" w:hAnsi="Times New Roman"/>
                <w:sz w:val="20"/>
              </w:rPr>
              <w:t>aktiv ab Erstveröffentlichung</w:t>
            </w:r>
          </w:p>
        </w:tc>
        <w:tc>
          <w:tcPr>
            <w:tcW w:type="dxa" w:w="1814"/>
          </w:tcPr>
          <w:p>
            <w:r>
              <w:rPr>
                <w:rFonts w:ascii="Times New Roman" w:hAnsi="Times New Roman"/>
                <w:sz w:val="20"/>
              </w:rPr>
              <w:t>activeLobbyist</w:t>
            </w:r>
            <w:r>
              <w:rPr>
                <w:rFonts w:ascii="Times New Roman" w:hAnsi="Times New Roman"/>
                <w:sz w:val="20"/>
              </w:rPr>
              <w:t xml:space="preserve"> true</w:t>
            </w:r>
          </w:p>
        </w:tc>
        <w:tc>
          <w:tcPr>
            <w:tcW w:type="dxa" w:w="1814"/>
          </w:tcPr>
          <w:p>
            <w:r>
              <w:rPr>
                <w:rFonts w:ascii="Times New Roman" w:hAnsi="Times New Roman"/>
                <w:sz w:val="20"/>
              </w:rPr>
              <w:t>Grün</w:t>
            </w:r>
          </w:p>
        </w:tc>
        <w:tc>
          <w:tcPr>
            <w:tcW w:type="dxa" w:w="1814"/>
          </w:tcPr>
          <w:p>
            <w:r>
              <w:rPr>
                <w:rFonts w:ascii="Times New Roman" w:hAnsi="Times New Roman"/>
                <w:sz w:val="20"/>
              </w:rPr>
              <w:t>keine</w:t>
            </w:r>
          </w:p>
        </w:tc>
      </w:tr>
      <w:tr>
        <w:tc>
          <w:tcPr>
            <w:tcW w:type="dxa" w:w="1814"/>
          </w:tcPr>
          <w:p>
            <w:r>
              <w:rPr>
                <w:rFonts w:ascii="Times New Roman" w:hAnsi="Times New Roman"/>
                <w:sz w:val="20"/>
              </w:rPr>
              <w:t>Version</w:t>
            </w:r>
          </w:p>
        </w:tc>
        <w:tc>
          <w:tcPr>
            <w:tcW w:type="dxa" w:w="1814"/>
          </w:tcPr>
          <w:p>
            <w:r>
              <w:rPr>
                <w:rFonts w:ascii="Times New Roman" w:hAnsi="Times New Roman"/>
                <w:sz w:val="20"/>
              </w:rPr>
              <w:t>Erstversion</w:t>
            </w:r>
          </w:p>
        </w:tc>
        <w:tc>
          <w:tcPr>
            <w:tcW w:type="dxa" w:w="1814"/>
          </w:tcPr>
          <w:p>
            <w:r>
              <w:rPr>
                <w:rFonts w:ascii="Times New Roman" w:hAnsi="Times New Roman"/>
                <w:sz w:val="20"/>
              </w:rPr>
              <w:t>Version 1</w:t>
            </w:r>
          </w:p>
        </w:tc>
        <w:tc>
          <w:tcPr>
            <w:tcW w:type="dxa" w:w="1814"/>
          </w:tcPr>
          <w:p>
            <w:r>
              <w:rPr>
                <w:rFonts w:ascii="Times New Roman" w:hAnsi="Times New Roman"/>
                <w:sz w:val="20"/>
              </w:rPr>
              <w:t>Grün</w:t>
            </w:r>
          </w:p>
        </w:tc>
        <w:tc>
          <w:tcPr>
            <w:tcW w:type="dxa" w:w="1814"/>
          </w:tcPr>
          <w:p>
            <w:r>
              <w:rPr>
                <w:rFonts w:ascii="Times New Roman" w:hAnsi="Times New Roman"/>
                <w:sz w:val="20"/>
              </w:rPr>
              <w:t>Version in Fristenbuch eintragen</w:t>
            </w:r>
          </w:p>
        </w:tc>
      </w:tr>
      <w:tr>
        <w:tc>
          <w:tcPr>
            <w:tcW w:type="dxa" w:w="1814"/>
          </w:tcPr>
          <w:p>
            <w:r>
              <w:rPr>
                <w:rFonts w:ascii="Times New Roman" w:hAnsi="Times New Roman"/>
                <w:sz w:val="20"/>
              </w:rPr>
              <w:t>Tätigkeit</w:t>
            </w:r>
          </w:p>
        </w:tc>
        <w:tc>
          <w:tcPr>
            <w:tcW w:type="dxa" w:w="1814"/>
          </w:tcPr>
          <w:p>
            <w:r>
              <w:rPr>
                <w:rFonts w:ascii="Times New Roman" w:hAnsi="Times New Roman"/>
                <w:sz w:val="20"/>
              </w:rPr>
              <w:t>Digital Euro, Instant Payments, Einlagensicherung</w:t>
            </w:r>
          </w:p>
        </w:tc>
        <w:tc>
          <w:tcPr>
            <w:tcW w:type="dxa" w:w="1814"/>
          </w:tcPr>
          <w:p>
            <w:r>
              <w:rPr>
                <w:rFonts w:ascii="Times New Roman" w:hAnsi="Times New Roman"/>
                <w:sz w:val="20"/>
              </w:rPr>
              <w:t>alle drei Themen sachlich erfasst</w:t>
            </w:r>
          </w:p>
        </w:tc>
        <w:tc>
          <w:tcPr>
            <w:tcW w:type="dxa" w:w="1814"/>
          </w:tcPr>
          <w:p>
            <w:r>
              <w:rPr>
                <w:rFonts w:ascii="Times New Roman" w:hAnsi="Times New Roman"/>
                <w:sz w:val="20"/>
              </w:rPr>
              <w:t>Grün</w:t>
            </w:r>
          </w:p>
        </w:tc>
        <w:tc>
          <w:tcPr>
            <w:tcW w:type="dxa" w:w="1814"/>
          </w:tcPr>
          <w:p>
            <w:r>
              <w:rPr>
                <w:rFonts w:ascii="Times New Roman" w:hAnsi="Times New Roman"/>
                <w:sz w:val="20"/>
              </w:rPr>
              <w:t>keine</w:t>
            </w:r>
          </w:p>
        </w:tc>
      </w:tr>
      <w:tr>
        <w:tc>
          <w:tcPr>
            <w:tcW w:type="dxa" w:w="1814"/>
          </w:tcPr>
          <w:p>
            <w:r>
              <w:rPr>
                <w:rFonts w:ascii="Times New Roman" w:hAnsi="Times New Roman"/>
                <w:sz w:val="20"/>
              </w:rPr>
              <w:t>Betraute Personen</w:t>
            </w:r>
          </w:p>
        </w:tc>
        <w:tc>
          <w:tcPr>
            <w:tcW w:type="dxa" w:w="1814"/>
          </w:tcPr>
          <w:p>
            <w:r>
              <w:rPr>
                <w:rFonts w:ascii="Times New Roman" w:hAnsi="Times New Roman"/>
                <w:sz w:val="20"/>
              </w:rPr>
              <w:t>Byrne, Heidenreich, Krüger, Marin</w:t>
            </w:r>
          </w:p>
        </w:tc>
        <w:tc>
          <w:tcPr>
            <w:tcW w:type="dxa" w:w="1814"/>
          </w:tcPr>
          <w:p>
            <w:r>
              <w:rPr>
                <w:rFonts w:ascii="Times New Roman" w:hAnsi="Times New Roman"/>
                <w:sz w:val="20"/>
              </w:rPr>
              <w:t>vier Personen, 2.30 VZAE</w:t>
            </w:r>
          </w:p>
        </w:tc>
        <w:tc>
          <w:tcPr>
            <w:tcW w:type="dxa" w:w="1814"/>
          </w:tcPr>
          <w:p>
            <w:r>
              <w:rPr>
                <w:rFonts w:ascii="Times New Roman" w:hAnsi="Times New Roman"/>
                <w:sz w:val="20"/>
              </w:rPr>
              <w:t>Grün</w:t>
            </w:r>
          </w:p>
        </w:tc>
        <w:tc>
          <w:tcPr>
            <w:tcW w:type="dxa" w:w="1814"/>
          </w:tcPr>
          <w:p>
            <w:r>
              <w:rPr>
                <w:rFonts w:ascii="Times New Roman" w:hAnsi="Times New Roman"/>
                <w:sz w:val="20"/>
              </w:rPr>
              <w:t>HR-Freigaben ablegen</w:t>
            </w:r>
          </w:p>
        </w:tc>
      </w:tr>
      <w:tr>
        <w:tc>
          <w:tcPr>
            <w:tcW w:type="dxa" w:w="1814"/>
          </w:tcPr>
          <w:p>
            <w:r>
              <w:rPr>
                <w:rFonts w:ascii="Times New Roman" w:hAnsi="Times New Roman"/>
                <w:sz w:val="20"/>
              </w:rPr>
              <w:t>Finanzaufwendungen</w:t>
            </w:r>
          </w:p>
        </w:tc>
        <w:tc>
          <w:tcPr>
            <w:tcW w:type="dxa" w:w="1814"/>
          </w:tcPr>
          <w:p>
            <w:r>
              <w:rPr>
                <w:rFonts w:ascii="Times New Roman" w:hAnsi="Times New Roman"/>
                <w:sz w:val="20"/>
              </w:rPr>
              <w:t>180000 bis 190000 EUR nach Bereinigung</w:t>
            </w:r>
          </w:p>
        </w:tc>
        <w:tc>
          <w:tcPr>
            <w:tcW w:type="dxa" w:w="1814"/>
          </w:tcPr>
          <w:p>
            <w:r>
              <w:rPr>
                <w:rFonts w:ascii="Times New Roman" w:hAnsi="Times New Roman"/>
                <w:sz w:val="20"/>
              </w:rPr>
              <w:t>Range 180000 bis 190000</w:t>
            </w:r>
          </w:p>
        </w:tc>
        <w:tc>
          <w:tcPr>
            <w:tcW w:type="dxa" w:w="1814"/>
          </w:tcPr>
          <w:p>
            <w:r>
              <w:rPr>
                <w:rFonts w:ascii="Times New Roman" w:hAnsi="Times New Roman"/>
                <w:sz w:val="20"/>
              </w:rPr>
              <w:t>Grün</w:t>
            </w:r>
          </w:p>
        </w:tc>
        <w:tc>
          <w:tcPr>
            <w:tcW w:type="dxa" w:w="1814"/>
          </w:tcPr>
          <w:p>
            <w:r>
              <w:rPr>
                <w:rFonts w:ascii="Times New Roman" w:hAnsi="Times New Roman"/>
                <w:sz w:val="20"/>
              </w:rPr>
              <w:t>Kostenstellenmapping anhängen</w:t>
            </w:r>
          </w:p>
        </w:tc>
      </w:tr>
      <w:tr>
        <w:tc>
          <w:tcPr>
            <w:tcW w:type="dxa" w:w="1814"/>
          </w:tcPr>
          <w:p>
            <w:r>
              <w:rPr>
                <w:rFonts w:ascii="Times New Roman" w:hAnsi="Times New Roman"/>
                <w:sz w:val="20"/>
              </w:rPr>
              <w:t>Auftraggeber</w:t>
            </w:r>
          </w:p>
        </w:tc>
        <w:tc>
          <w:tcPr>
            <w:tcW w:type="dxa" w:w="1814"/>
          </w:tcPr>
          <w:p>
            <w:r>
              <w:rPr>
                <w:rFonts w:ascii="Times New Roman" w:hAnsi="Times New Roman"/>
                <w:sz w:val="20"/>
              </w:rPr>
              <w:t>keine Fremdvertretung</w:t>
            </w:r>
          </w:p>
        </w:tc>
        <w:tc>
          <w:tcPr>
            <w:tcW w:type="dxa" w:w="1814"/>
          </w:tcPr>
          <w:p>
            <w:r>
              <w:rPr>
                <w:rFonts w:ascii="Times New Roman" w:hAnsi="Times New Roman"/>
                <w:sz w:val="20"/>
              </w:rPr>
              <w:t>contractsPresent</w:t>
            </w:r>
            <w:r>
              <w:rPr>
                <w:rFonts w:ascii="Times New Roman" w:hAnsi="Times New Roman"/>
                <w:sz w:val="20"/>
              </w:rPr>
              <w:t xml:space="preserve"> false</w:t>
            </w:r>
          </w:p>
        </w:tc>
        <w:tc>
          <w:tcPr>
            <w:tcW w:type="dxa" w:w="1814"/>
          </w:tcPr>
          <w:p>
            <w:r>
              <w:rPr>
                <w:rFonts w:ascii="Times New Roman" w:hAnsi="Times New Roman"/>
                <w:sz w:val="20"/>
              </w:rPr>
              <w:t>Grün</w:t>
            </w:r>
          </w:p>
        </w:tc>
        <w:tc>
          <w:tcPr>
            <w:tcW w:type="dxa" w:w="1814"/>
          </w:tcPr>
          <w:p>
            <w:r>
              <w:rPr>
                <w:rFonts w:ascii="Times New Roman" w:hAnsi="Times New Roman"/>
                <w:sz w:val="20"/>
              </w:rPr>
              <w:t>keine</w:t>
            </w:r>
          </w:p>
        </w:tc>
      </w:tr>
      <w:tr>
        <w:tc>
          <w:tcPr>
            <w:tcW w:type="dxa" w:w="1814"/>
          </w:tcPr>
          <w:p>
            <w:r>
              <w:rPr>
                <w:rFonts w:ascii="Times New Roman" w:hAnsi="Times New Roman"/>
                <w:sz w:val="20"/>
              </w:rPr>
              <w:t>Stellungnahmen</w:t>
            </w:r>
          </w:p>
        </w:tc>
        <w:tc>
          <w:tcPr>
            <w:tcW w:type="dxa" w:w="1814"/>
          </w:tcPr>
          <w:p>
            <w:r>
              <w:rPr>
                <w:rFonts w:ascii="Times New Roman" w:hAnsi="Times New Roman"/>
                <w:sz w:val="20"/>
              </w:rPr>
              <w:t>noch keine grundlegende Stellungnahme versandt</w:t>
            </w:r>
          </w:p>
        </w:tc>
        <w:tc>
          <w:tcPr>
            <w:tcW w:type="dxa" w:w="1814"/>
          </w:tcPr>
          <w:p>
            <w:r>
              <w:rPr>
                <w:rFonts w:ascii="Times New Roman" w:hAnsi="Times New Roman"/>
                <w:sz w:val="20"/>
              </w:rPr>
              <w:t>statementsPresent</w:t>
            </w:r>
            <w:r>
              <w:rPr>
                <w:rFonts w:ascii="Times New Roman" w:hAnsi="Times New Roman"/>
                <w:sz w:val="20"/>
              </w:rPr>
              <w:t xml:space="preserve"> false</w:t>
            </w:r>
          </w:p>
        </w:tc>
        <w:tc>
          <w:tcPr>
            <w:tcW w:type="dxa" w:w="1814"/>
          </w:tcPr>
          <w:p>
            <w:r>
              <w:rPr>
                <w:rFonts w:ascii="Times New Roman" w:hAnsi="Times New Roman"/>
                <w:sz w:val="20"/>
              </w:rPr>
              <w:t>Grün</w:t>
            </w:r>
          </w:p>
        </w:tc>
        <w:tc>
          <w:tcPr>
            <w:tcW w:type="dxa" w:w="1814"/>
          </w:tcPr>
          <w:p>
            <w:r>
              <w:rPr>
                <w:rFonts w:ascii="Times New Roman" w:hAnsi="Times New Roman"/>
                <w:sz w:val="20"/>
              </w:rPr>
              <w:t>Quartalsmonitor bleibt offen</w:t>
            </w:r>
          </w:p>
        </w:tc>
      </w:tr>
      <w:tr>
        <w:tc>
          <w:tcPr>
            <w:tcW w:type="dxa" w:w="1814"/>
          </w:tcPr>
          <w:p>
            <w:r>
              <w:rPr>
                <w:rFonts w:ascii="Times New Roman" w:hAnsi="Times New Roman"/>
                <w:sz w:val="20"/>
              </w:rPr>
              <w:t>Verhaltenskodex</w:t>
            </w:r>
          </w:p>
        </w:tc>
        <w:tc>
          <w:tcPr>
            <w:tcW w:type="dxa" w:w="1814"/>
          </w:tcPr>
          <w:p>
            <w:r>
              <w:rPr>
                <w:rFonts w:ascii="Times New Roman" w:hAnsi="Times New Roman"/>
                <w:sz w:val="20"/>
              </w:rPr>
              <w:t>eigener Kodex vorhanden</w:t>
            </w:r>
          </w:p>
        </w:tc>
        <w:tc>
          <w:tcPr>
            <w:tcW w:type="dxa" w:w="1814"/>
          </w:tcPr>
          <w:p>
            <w:r>
              <w:rPr>
                <w:rFonts w:ascii="Times New Roman" w:hAnsi="Times New Roman"/>
                <w:sz w:val="20"/>
              </w:rPr>
              <w:t>ownCodeOfConduct</w:t>
            </w:r>
            <w:r>
              <w:rPr>
                <w:rFonts w:ascii="Times New Roman" w:hAnsi="Times New Roman"/>
                <w:sz w:val="20"/>
              </w:rPr>
              <w:t xml:space="preserve"> true</w:t>
            </w:r>
          </w:p>
        </w:tc>
        <w:tc>
          <w:tcPr>
            <w:tcW w:type="dxa" w:w="1814"/>
          </w:tcPr>
          <w:p>
            <w:r>
              <w:rPr>
                <w:rFonts w:ascii="Times New Roman" w:hAnsi="Times New Roman"/>
                <w:sz w:val="20"/>
              </w:rPr>
              <w:t>Grün</w:t>
            </w:r>
          </w:p>
        </w:tc>
        <w:tc>
          <w:tcPr>
            <w:tcW w:type="dxa" w:w="1814"/>
          </w:tcPr>
          <w:p>
            <w:r>
              <w:rPr>
                <w:rFonts w:ascii="Times New Roman" w:hAnsi="Times New Roman"/>
                <w:sz w:val="20"/>
              </w:rPr>
              <w:t>Link intern prüfen</w:t>
            </w:r>
          </w:p>
        </w:tc>
      </w:tr>
      <w:tr>
        <w:tc>
          <w:tcPr>
            <w:tcW w:type="dxa" w:w="1814"/>
          </w:tcPr>
          <w:p>
            <w:r>
              <w:rPr>
                <w:rFonts w:ascii="Times New Roman" w:hAnsi="Times New Roman"/>
                <w:sz w:val="20"/>
              </w:rPr>
              <w:t>verweigerte Angaben</w:t>
            </w:r>
          </w:p>
        </w:tc>
        <w:tc>
          <w:tcPr>
            <w:tcW w:type="dxa" w:w="1814"/>
          </w:tcPr>
          <w:p>
            <w:r>
              <w:rPr>
                <w:rFonts w:ascii="Times New Roman" w:hAnsi="Times New Roman"/>
                <w:sz w:val="20"/>
              </w:rPr>
              <w:t>keine</w:t>
            </w:r>
          </w:p>
        </w:tc>
        <w:tc>
          <w:tcPr>
            <w:tcW w:type="dxa" w:w="1814"/>
          </w:tcPr>
          <w:p>
            <w:r>
              <w:rPr>
                <w:rFonts w:ascii="Times New Roman" w:hAnsi="Times New Roman"/>
                <w:sz w:val="20"/>
              </w:rPr>
              <w:t>refusedAnything</w:t>
            </w:r>
            <w:r>
              <w:rPr>
                <w:rFonts w:ascii="Times New Roman" w:hAnsi="Times New Roman"/>
                <w:sz w:val="20"/>
              </w:rPr>
              <w:t xml:space="preserve"> false</w:t>
            </w:r>
          </w:p>
        </w:tc>
        <w:tc>
          <w:tcPr>
            <w:tcW w:type="dxa" w:w="1814"/>
          </w:tcPr>
          <w:p>
            <w:r>
              <w:rPr>
                <w:rFonts w:ascii="Times New Roman" w:hAnsi="Times New Roman"/>
                <w:sz w:val="20"/>
              </w:rPr>
              <w:t>Grün</w:t>
            </w:r>
          </w:p>
        </w:tc>
        <w:tc>
          <w:tcPr>
            <w:tcW w:type="dxa" w:w="1814"/>
          </w:tcPr>
          <w:p>
            <w:r>
              <w:rPr>
                <w:rFonts w:ascii="Times New Roman" w:hAnsi="Times New Roman"/>
                <w:sz w:val="20"/>
              </w:rPr>
              <w:t>keine</w:t>
            </w:r>
          </w:p>
        </w:tc>
      </w:tr>
      <w:tr>
        <w:tc>
          <w:tcPr>
            <w:tcW w:type="dxa" w:w="1814"/>
          </w:tcPr>
          <w:p>
            <w:r>
              <w:rPr>
                <w:rFonts w:ascii="Times New Roman" w:hAnsi="Times New Roman"/>
                <w:sz w:val="20"/>
              </w:rPr>
              <w:t>Kodexverstoesse</w:t>
            </w:r>
          </w:p>
        </w:tc>
        <w:tc>
          <w:tcPr>
            <w:tcW w:type="dxa" w:w="1814"/>
          </w:tcPr>
          <w:p>
            <w:r>
              <w:rPr>
                <w:rFonts w:ascii="Times New Roman" w:hAnsi="Times New Roman"/>
                <w:sz w:val="20"/>
              </w:rPr>
              <w:t>keine</w:t>
            </w:r>
          </w:p>
        </w:tc>
        <w:tc>
          <w:tcPr>
            <w:tcW w:type="dxa" w:w="1814"/>
          </w:tcPr>
          <w:p>
            <w:r>
              <w:rPr>
                <w:rFonts w:ascii="Times New Roman" w:hAnsi="Times New Roman"/>
                <w:sz w:val="20"/>
              </w:rPr>
              <w:t>accountHasCodexViolations</w:t>
            </w:r>
            <w:r>
              <w:rPr>
                <w:rFonts w:ascii="Times New Roman" w:hAnsi="Times New Roman"/>
                <w:sz w:val="20"/>
              </w:rPr>
              <w:t xml:space="preserve"> false</w:t>
            </w:r>
          </w:p>
        </w:tc>
        <w:tc>
          <w:tcPr>
            <w:tcW w:type="dxa" w:w="1814"/>
          </w:tcPr>
          <w:p>
            <w:r>
              <w:rPr>
                <w:rFonts w:ascii="Times New Roman" w:hAnsi="Times New Roman"/>
                <w:sz w:val="20"/>
              </w:rPr>
              <w:t>Grün</w:t>
            </w:r>
          </w:p>
        </w:tc>
        <w:tc>
          <w:tcPr>
            <w:tcW w:type="dxa" w:w="1814"/>
          </w:tcPr>
          <w:p>
            <w:r>
              <w:rPr>
                <w:rFonts w:ascii="Times New Roman" w:hAnsi="Times New Roman"/>
                <w:sz w:val="20"/>
              </w:rPr>
              <w:t>keine</w:t>
            </w:r>
          </w:p>
        </w:tc>
      </w:tr>
    </w:tbl>
    <w:p>
      <w:pPr>
        <w:pStyle w:val="Heading2"/>
      </w:pPr>
      <w:r>
        <w:rPr>
          <w:rFonts w:ascii="Times New Roman" w:hAnsi="Times New Roman"/>
        </w:rPr>
        <w:t>Dubletten- und Zweigniederlassungscheck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Suche</w:t>
            </w:r>
          </w:p>
        </w:tc>
        <w:tc>
          <w:tcPr>
            <w:tcW w:type="dxa" w:w="2268"/>
          </w:tcPr>
          <w:p>
            <w:r>
              <w:rPr>
                <w:rFonts w:ascii="Times New Roman" w:hAnsi="Times New Roman"/>
                <w:b/>
                <w:sz w:val="20"/>
              </w:rPr>
              <w:t>Ergebnis</w:t>
            </w:r>
          </w:p>
        </w:tc>
        <w:tc>
          <w:tcPr>
            <w:tcW w:type="dxa" w:w="2268"/>
          </w:tcPr>
          <w:p>
            <w:r>
              <w:rPr>
                <w:rFonts w:ascii="Times New Roman" w:hAnsi="Times New Roman"/>
                <w:b/>
                <w:sz w:val="20"/>
              </w:rPr>
              <w:t>Risiko</w:t>
            </w:r>
          </w:p>
        </w:tc>
        <w:tc>
          <w:tcPr>
            <w:tcW w:type="dxa" w:w="2268"/>
          </w:tcPr>
          <w:p>
            <w:r>
              <w:rPr>
                <w:rFonts w:ascii="Times New Roman" w:hAnsi="Times New Roman"/>
                <w:b/>
                <w:sz w:val="20"/>
              </w:rPr>
              <w:t>Entscheidung</w:t>
            </w:r>
          </w:p>
        </w:tc>
      </w:tr>
      <w:tr>
        <w:tc>
          <w:tcPr>
            <w:tcW w:type="dxa" w:w="2268"/>
          </w:tcPr>
          <w:p>
            <w:r>
              <w:rPr>
                <w:rFonts w:ascii="Times New Roman" w:hAnsi="Times New Roman"/>
                <w:sz w:val="20"/>
              </w:rPr>
              <w:t>Emerald Liffey Bank</w:t>
            </w:r>
          </w:p>
        </w:tc>
        <w:tc>
          <w:tcPr>
            <w:tcW w:type="dxa" w:w="2268"/>
          </w:tcPr>
          <w:p>
            <w:r>
              <w:rPr>
                <w:rFonts w:ascii="Times New Roman" w:hAnsi="Times New Roman"/>
                <w:sz w:val="20"/>
              </w:rPr>
              <w:t>ein Treffer R009814</w:t>
            </w:r>
          </w:p>
        </w:tc>
        <w:tc>
          <w:tcPr>
            <w:tcW w:type="dxa" w:w="2268"/>
          </w:tcPr>
          <w:p>
            <w:r>
              <w:rPr>
                <w:rFonts w:ascii="Times New Roman" w:hAnsi="Times New Roman"/>
                <w:sz w:val="20"/>
              </w:rPr>
              <w:t>gering</w:t>
            </w:r>
          </w:p>
        </w:tc>
        <w:tc>
          <w:tcPr>
            <w:tcW w:type="dxa" w:w="2268"/>
          </w:tcPr>
          <w:p>
            <w:r>
              <w:rPr>
                <w:rFonts w:ascii="Times New Roman" w:hAnsi="Times New Roman"/>
                <w:sz w:val="20"/>
              </w:rPr>
              <w:t>Primaerentwurf bestätigt</w:t>
            </w:r>
          </w:p>
        </w:tc>
      </w:tr>
      <w:tr>
        <w:tc>
          <w:tcPr>
            <w:tcW w:type="dxa" w:w="2268"/>
          </w:tcPr>
          <w:p>
            <w:r>
              <w:rPr>
                <w:rFonts w:ascii="Times New Roman" w:hAnsi="Times New Roman"/>
                <w:sz w:val="20"/>
              </w:rPr>
              <w:t>Emerald Liffey Frankfurt</w:t>
            </w:r>
          </w:p>
        </w:tc>
        <w:tc>
          <w:tcPr>
            <w:tcW w:type="dxa" w:w="2268"/>
          </w:tcPr>
          <w:p>
            <w:r>
              <w:rPr>
                <w:rFonts w:ascii="Times New Roman" w:hAnsi="Times New Roman"/>
                <w:sz w:val="20"/>
              </w:rPr>
              <w:t>ein Treffer R009814</w:t>
            </w:r>
          </w:p>
        </w:tc>
        <w:tc>
          <w:tcPr>
            <w:tcW w:type="dxa" w:w="2268"/>
          </w:tcPr>
          <w:p>
            <w:r>
              <w:rPr>
                <w:rFonts w:ascii="Times New Roman" w:hAnsi="Times New Roman"/>
                <w:sz w:val="20"/>
              </w:rPr>
              <w:t>gering</w:t>
            </w:r>
          </w:p>
        </w:tc>
        <w:tc>
          <w:tcPr>
            <w:tcW w:type="dxa" w:w="2268"/>
          </w:tcPr>
          <w:p>
            <w:r>
              <w:rPr>
                <w:rFonts w:ascii="Times New Roman" w:hAnsi="Times New Roman"/>
                <w:sz w:val="20"/>
              </w:rPr>
              <w:t>Frankfurt wird nur im Dublin-Eintrag sichtbar</w:t>
            </w:r>
          </w:p>
        </w:tc>
      </w:tr>
      <w:tr>
        <w:tc>
          <w:tcPr>
            <w:tcW w:type="dxa" w:w="2268"/>
          </w:tcPr>
          <w:p>
            <w:r>
              <w:rPr>
                <w:rFonts w:ascii="Times New Roman" w:hAnsi="Times New Roman"/>
                <w:sz w:val="20"/>
              </w:rPr>
              <w:t>Emerald Liffey Bank Zweigniederlassung</w:t>
            </w:r>
          </w:p>
        </w:tc>
        <w:tc>
          <w:tcPr>
            <w:tcW w:type="dxa" w:w="2268"/>
          </w:tcPr>
          <w:p>
            <w:r>
              <w:rPr>
                <w:rFonts w:ascii="Times New Roman" w:hAnsi="Times New Roman"/>
                <w:sz w:val="20"/>
              </w:rPr>
              <w:t>kein Treffer</w:t>
            </w:r>
          </w:p>
        </w:tc>
        <w:tc>
          <w:tcPr>
            <w:tcW w:type="dxa" w:w="2268"/>
          </w:tcPr>
          <w:p>
            <w:r>
              <w:rPr>
                <w:rFonts w:ascii="Times New Roman" w:hAnsi="Times New Roman"/>
                <w:sz w:val="20"/>
              </w:rPr>
              <w:t>gering</w:t>
            </w:r>
          </w:p>
        </w:tc>
        <w:tc>
          <w:tcPr>
            <w:tcW w:type="dxa" w:w="2268"/>
          </w:tcPr>
          <w:p>
            <w:r>
              <w:rPr>
                <w:rFonts w:ascii="Times New Roman" w:hAnsi="Times New Roman"/>
                <w:sz w:val="20"/>
              </w:rPr>
              <w:t>kein Zweitentwurf veröffentlicht</w:t>
            </w:r>
          </w:p>
        </w:tc>
      </w:tr>
      <w:tr>
        <w:tc>
          <w:tcPr>
            <w:tcW w:type="dxa" w:w="2268"/>
          </w:tcPr>
          <w:p>
            <w:r>
              <w:rPr>
                <w:rFonts w:ascii="Times New Roman" w:hAnsi="Times New Roman"/>
                <w:sz w:val="20"/>
              </w:rPr>
              <w:t>ELB Digital Euro</w:t>
            </w:r>
          </w:p>
        </w:tc>
        <w:tc>
          <w:tcPr>
            <w:tcW w:type="dxa" w:w="2268"/>
          </w:tcPr>
          <w:p>
            <w:r>
              <w:rPr>
                <w:rFonts w:ascii="Times New Roman" w:hAnsi="Times New Roman"/>
                <w:sz w:val="20"/>
              </w:rPr>
              <w:t>kein separater Treffer</w:t>
            </w:r>
          </w:p>
        </w:tc>
        <w:tc>
          <w:tcPr>
            <w:tcW w:type="dxa" w:w="2268"/>
          </w:tcPr>
          <w:p>
            <w:r>
              <w:rPr>
                <w:rFonts w:ascii="Times New Roman" w:hAnsi="Times New Roman"/>
                <w:sz w:val="20"/>
              </w:rPr>
              <w:t>gering</w:t>
            </w:r>
          </w:p>
        </w:tc>
        <w:tc>
          <w:tcPr>
            <w:tcW w:type="dxa" w:w="2268"/>
          </w:tcPr>
          <w:p>
            <w:r>
              <w:rPr>
                <w:rFonts w:ascii="Times New Roman" w:hAnsi="Times New Roman"/>
                <w:sz w:val="20"/>
              </w:rPr>
              <w:t>Projektkürzel nicht als eigener Name genutzt</w:t>
            </w:r>
          </w:p>
        </w:tc>
      </w:tr>
      <w:tr>
        <w:tc>
          <w:tcPr>
            <w:tcW w:type="dxa" w:w="2268"/>
          </w:tcPr>
          <w:p>
            <w:r>
              <w:rPr>
                <w:rFonts w:ascii="Times New Roman" w:hAnsi="Times New Roman"/>
                <w:sz w:val="20"/>
              </w:rPr>
              <w:t>Taunusanlage 12</w:t>
            </w:r>
          </w:p>
        </w:tc>
        <w:tc>
          <w:tcPr>
            <w:tcW w:type="dxa" w:w="2268"/>
          </w:tcPr>
          <w:p>
            <w:r>
              <w:rPr>
                <w:rFonts w:ascii="Times New Roman" w:hAnsi="Times New Roman"/>
                <w:sz w:val="20"/>
              </w:rPr>
              <w:t>kein separater Treffer</w:t>
            </w:r>
          </w:p>
        </w:tc>
        <w:tc>
          <w:tcPr>
            <w:tcW w:type="dxa" w:w="2268"/>
          </w:tcPr>
          <w:p>
            <w:r>
              <w:rPr>
                <w:rFonts w:ascii="Times New Roman" w:hAnsi="Times New Roman"/>
                <w:sz w:val="20"/>
              </w:rPr>
              <w:t>mittel</w:t>
            </w:r>
          </w:p>
        </w:tc>
        <w:tc>
          <w:tcPr>
            <w:tcW w:type="dxa" w:w="2268"/>
          </w:tcPr>
          <w:p>
            <w:r>
              <w:rPr>
                <w:rFonts w:ascii="Times New Roman" w:hAnsi="Times New Roman"/>
                <w:sz w:val="20"/>
              </w:rPr>
              <w:t>Adresse auf Detailseite optisch prüfen</w:t>
            </w:r>
          </w:p>
        </w:tc>
      </w:tr>
    </w:tbl>
    <w:p>
      <w:pPr>
        <w:pStyle w:val="Heading2"/>
      </w:pPr>
      <w:r>
        <w:rPr>
          <w:rFonts w:ascii="Times New Roman" w:hAnsi="Times New Roman"/>
        </w:rPr>
        <w:t>Offene Punkte</w:t>
      </w:r>
    </w:p>
    <w:p>
      <w:pPr>
        <w:pStyle w:val="ListNumber"/>
      </w:pPr>
      <w:r>
        <w:t>Die API-Antwort enthält lediglich eine gekürzte Abruf-URL. Die PDF-/Kodex-URL des Registereintrags ist beim nächsten Abruf mit der Unternehmensseite abzugleichen.</w:t>
      </w:r>
      <w:r/>
      <w:r/>
    </w:p>
    <w:p>
      <w:pPr>
        <w:pStyle w:val="ListNumber"/>
      </w:pPr>
      <w:r>
        <w:t>Die RfS-Anfrage bleibt in der Akte, obwohl keine zweite Registrierung vorgenommen wurde. Sie dokumentiert die vorherige Unsicherheit.</w:t>
      </w:r>
    </w:p>
    <w:p>
      <w:pPr>
        <w:pStyle w:val="ListNumber"/>
      </w:pPr>
      <w:r>
        <w:t>Bei erster grundlegender Stellungnahme zum Digital-Euro-Begleitgesetz muss der Quartalsupload neu geprüft werden.</w:t>
      </w:r>
    </w:p>
    <w:p>
      <w:pPr>
        <w:pStyle w:val="Heading2"/>
      </w:pPr>
      <w:r>
        <w:rPr>
          <w:rFonts w:ascii="Times New Roman" w:hAnsi="Times New Roman"/>
        </w:rPr>
        <w:t>Abschlussentscheidung</w:t>
      </w:r>
    </w:p>
    <w:p>
      <w:pPr>
        <w:jc w:val="left"/>
      </w:pPr>
      <w:r>
        <w:t>Status Grün mit Wiedervorlage am 01.07.2026. Keine zweite Registrierung für Frankfurt vorbereiten. Falls das Portal später einen zweiten Frankfurt-Eintrag anzeigt oder ein RfS-Hinweis eingeht, Streitvermerk neu öffnen.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