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rFonts w:ascii="Arial" w:hAnsi="Arial"/>
          <w:color w:val="5B6770"/>
          <w:sz w:val="17"/>
        </w:rPr>
        <w:t>Notarin Dr. Katharina Mertens · Marktstraße 18 · 37213 Witzenhausen</w:t>
        <w:br/>
      </w:r>
      <w:r>
        <w:rPr>
          <w:rFonts w:ascii="Arial" w:hAnsi="Arial"/>
          <w:color w:val="5B6770"/>
          <w:sz w:val="16"/>
        </w:rPr>
        <w:t>Telefon 05542 9178-0 · Telefax 05542 9178-19 · post@notariat-mertens.de</w:t>
        <w:br/>
      </w:r>
      <w:r>
        <w:rPr>
          <w:rFonts w:ascii="Arial" w:hAnsi="Arial"/>
          <w:color w:val="5B6770"/>
          <w:sz w:val="16"/>
        </w:rPr>
        <w:t>Anderkonto IBAN DE12 5205 0353 0018 4660 19 · BIC HELADEF1KAS</w:t>
      </w:r>
    </w:p>
    <w:p>
      <w:pPr>
        <w:spacing w:after="280"/>
      </w:pPr>
      <w:r>
        <w:rPr>
          <w:rFonts w:ascii="Arial" w:hAnsi="Arial"/>
          <w:b/>
          <w:sz w:val="21"/>
        </w:rPr>
        <w:t>Frau Charlotte Falk</w:t>
        <w:br/>
      </w:r>
      <w:r>
        <w:rPr>
          <w:rFonts w:ascii="Arial" w:hAnsi="Arial"/>
          <w:sz w:val="21"/>
        </w:rPr>
        <w:t>Waldwinkel Immobilien GmbH</w:t>
        <w:br/>
      </w:r>
      <w:r>
        <w:rPr>
          <w:rFonts w:ascii="Arial" w:hAnsi="Arial"/>
          <w:sz w:val="21"/>
        </w:rPr>
        <w:t>Marktgasse 4</w:t>
        <w:br/>
      </w:r>
      <w:r>
        <w:rPr>
          <w:rFonts w:ascii="Arial" w:hAnsi="Arial"/>
          <w:sz w:val="21"/>
        </w:rPr>
        <w:t>37213 Witzenhausen</w:t>
      </w:r>
    </w:p>
    <w:tbl>
      <w:tblPr>
        <w:tblW w:type="auto" w:w="0"/>
        <w:jc w:val="left"/>
        <w:tblLayout w:type="fixed"/>
        <w:tblLook w:firstColumn="1" w:firstRow="1" w:lastColumn="0" w:lastRow="0" w:noHBand="0" w:noVBand="1" w:val="04A0"/>
      </w:tblPr>
      <w:tblGrid>
        <w:gridCol w:w="4705"/>
        <w:gridCol w:w="4705"/>
      </w:tblGrid>
      <w:tr>
        <w:tc>
          <w:tcPr>
            <w:tcW w:type="dxa" w:w="1984"/>
            <w:vAlign w:val="center"/>
          </w:tcPr>
          <w:p>
            <w:pPr>
              <w:spacing w:after="0"/>
            </w:pPr>
            <w:r>
              <w:rPr>
                <w:rFonts w:ascii="Arial" w:hAnsi="Arial"/>
                <w:b/>
                <w:color w:val="5B6770"/>
                <w:sz w:val="18"/>
              </w:rPr>
              <w:t>Unser Zeichen</w:t>
            </w:r>
          </w:p>
        </w:tc>
        <w:tc>
          <w:tcPr>
            <w:tcW w:type="dxa" w:w="7257"/>
            <w:vAlign w:val="center"/>
          </w:tcPr>
          <w:p>
            <w:pPr>
              <w:spacing w:after="0"/>
            </w:pPr>
            <w:r>
              <w:rPr>
                <w:rFonts w:ascii="Arial" w:hAnsi="Arial"/>
                <w:sz w:val="18"/>
              </w:rPr>
              <w:t>N 184/2026 M</w:t>
            </w:r>
          </w:p>
        </w:tc>
      </w:tr>
      <w:tr>
        <w:tc>
          <w:tcPr>
            <w:tcW w:type="dxa" w:w="1984"/>
            <w:vAlign w:val="center"/>
          </w:tcPr>
          <w:p>
            <w:pPr>
              <w:spacing w:after="0"/>
            </w:pPr>
            <w:r>
              <w:rPr>
                <w:rFonts w:ascii="Arial" w:hAnsi="Arial"/>
                <w:b/>
                <w:color w:val="5B6770"/>
                <w:sz w:val="18"/>
              </w:rPr>
              <w:t>Bearbeiterin</w:t>
            </w:r>
          </w:p>
        </w:tc>
        <w:tc>
          <w:tcPr>
            <w:tcW w:type="dxa" w:w="7257"/>
            <w:vAlign w:val="center"/>
          </w:tcPr>
          <w:p>
            <w:pPr>
              <w:spacing w:after="0"/>
            </w:pPr>
            <w:r>
              <w:rPr>
                <w:rFonts w:ascii="Arial" w:hAnsi="Arial"/>
                <w:sz w:val="18"/>
              </w:rPr>
              <w:t>Ruth Seidel, Notarfachwirtin</w:t>
            </w:r>
          </w:p>
        </w:tc>
      </w:tr>
      <w:tr>
        <w:tc>
          <w:tcPr>
            <w:tcW w:type="dxa" w:w="1984"/>
            <w:vAlign w:val="center"/>
          </w:tcPr>
          <w:p>
            <w:pPr>
              <w:spacing w:after="0"/>
            </w:pPr>
            <w:r>
              <w:rPr>
                <w:rFonts w:ascii="Arial" w:hAnsi="Arial"/>
                <w:b/>
                <w:color w:val="5B6770"/>
                <w:sz w:val="18"/>
              </w:rPr>
              <w:t>Datum</w:t>
            </w:r>
          </w:p>
        </w:tc>
        <w:tc>
          <w:tcPr>
            <w:tcW w:type="dxa" w:w="7257"/>
            <w:vAlign w:val="center"/>
          </w:tcPr>
          <w:p>
            <w:pPr>
              <w:spacing w:after="0"/>
            </w:pPr>
            <w:r>
              <w:rPr>
                <w:rFonts w:ascii="Arial" w:hAnsi="Arial"/>
                <w:sz w:val="18"/>
              </w:rPr>
              <w:t>10. Juni 2026</w:t>
            </w:r>
          </w:p>
        </w:tc>
      </w:tr>
      <w:tr>
        <w:tc>
          <w:tcPr>
            <w:tcW w:type="dxa" w:w="1984"/>
            <w:vAlign w:val="center"/>
          </w:tcPr>
          <w:p>
            <w:pPr>
              <w:spacing w:after="0"/>
            </w:pPr>
            <w:r>
              <w:rPr>
                <w:rFonts w:ascii="Arial" w:hAnsi="Arial"/>
                <w:b/>
                <w:color w:val="5B6770"/>
                <w:sz w:val="18"/>
              </w:rPr>
              <w:t>Durchwahl</w:t>
            </w:r>
          </w:p>
        </w:tc>
        <w:tc>
          <w:tcPr>
            <w:tcW w:type="dxa" w:w="7257"/>
            <w:vAlign w:val="center"/>
          </w:tcPr>
          <w:p>
            <w:pPr>
              <w:spacing w:after="0"/>
            </w:pPr>
            <w:r>
              <w:rPr>
                <w:rFonts w:ascii="Arial" w:hAnsi="Arial"/>
                <w:sz w:val="18"/>
              </w:rPr>
              <w:t>05542 9178-12</w:t>
            </w:r>
          </w:p>
        </w:tc>
      </w:tr>
    </w:tbl>
    <w:p>
      <w:pPr>
        <w:spacing w:after="0"/>
      </w:pPr>
    </w:p>
    <w:p>
      <w:pPr>
        <w:pStyle w:val="Title"/>
        <w:keepNext/>
      </w:pPr>
      <w:r>
        <w:t>Beurkundung am 18. Juni 2026</w:t>
      </w:r>
    </w:p>
    <w:p>
      <w:pPr>
        <w:widowControl/>
        <w:jc w:val="both"/>
      </w:pPr>
      <w:r>
        <w:t>Sehr geehrte Frau Falk,</w:t>
      </w:r>
    </w:p>
    <w:p>
      <w:pPr>
        <w:widowControl/>
        <w:jc w:val="both"/>
      </w:pPr>
      <w:r>
        <w:t>für Donnerstag, den 18. Juni 2026, 10:00 Uhr, ist in den Kanzleiräumen Marktstraße 18, Besprechungszimmer 2, die Beurkundung der Anteilsübertragung an der Waldwinkel Immobilien GmbH und des Kaufvertrags über das Hofgrundstück in Gertenbach vorgesehen. Für die beiden Vorgänge werden getrennte Urkundenrollen geführt.</w:t>
      </w:r>
    </w:p>
    <w:p>
      <w:pPr>
        <w:widowControl/>
        <w:jc w:val="both"/>
      </w:pPr>
      <w:r>
        <w:t>Nach dem derzeitigen Stand sollen Sie für die Waldwinkel Immobilien GmbH, als Mitgesellschafterin und aufgrund Vollmacht für Frau Eva Falk als Alleinerbin nach Karl-Heinz Falk auftreten. Herr Piotr Kowalski soll die Solberg Beteiligungs GmbH vertreten; Frau Johanna Reuter soll für die Aue Projekt GmbH handeln.</w:t>
      </w:r>
    </w:p>
    <w:p>
      <w:pPr>
        <w:pStyle w:val="Heading1"/>
      </w:pPr>
      <w:r>
        <w:t>1. Persönliches Erscheinen und Identitätsunterlagen</w:t>
      </w:r>
    </w:p>
    <w:p>
      <w:pPr>
        <w:widowControl/>
        <w:jc w:val="both"/>
      </w:pPr>
      <w:r>
        <w:t>Bitte bringen Sie Ihren gültigen Personalausweis und die Ausfertigung der Gesellschaftervollmacht vom 28. April 2026 mit. Herr Kowalski und Frau Reuter benötigen jeweils den Reisepass beziehungsweise Personalausweis sowie einen aktuellen Handelsregisterauszug ihrer Gesellschaft, der am Beurkundungstag nicht älter als vier Wochen ist.</w:t>
      </w:r>
    </w:p>
    <w:p>
      <w:pPr>
        <w:widowControl/>
        <w:jc w:val="both"/>
      </w:pPr>
      <w:r>
        <w:t>Für Herrn Kowalski ist Frau Maria Kaczmarek, allgemein beeidigte Dolmetscherin für die polnische Sprache, ab 9:30 Uhr vorgemerkt. Das Notariat benötigt vorab die Bestätigung, ob Herr Kowalski den gesamten Urkundstext in polnischer Übersetzung wünscht oder ob eine abschnittsweise mündliche Übertragung ausreicht.</w:t>
      </w:r>
    </w:p>
    <w:p>
      <w:pPr>
        <w:pStyle w:val="Heading1"/>
      </w:pPr>
      <w:r>
        <w:t>2. Nachlass und Vollmacht Eva Falk</w:t>
      </w:r>
    </w:p>
    <w:p>
      <w:pPr>
        <w:widowControl/>
        <w:jc w:val="both"/>
      </w:pPr>
      <w:r>
        <w:t>Von der portugiesischen Notarin Ana Ribeiro in Porto liegt bislang nur ein farbiger Scan der am 3. Juni 2026 beglaubigten Vollmacht vor. Die mit Apostille versehene Papierausfertigung wurde nach Mitteilung von Frau Falk am 8. Juni 2026 per Kurier abgesandt. Bitte veranlassen Sie, dass die Ausfertigung spätestens am 17. Juni 2026 bis 12:00 Uhr im Notariat eingeht.</w:t>
      </w:r>
    </w:p>
    <w:p>
      <w:pPr>
        <w:widowControl/>
        <w:jc w:val="both"/>
      </w:pPr>
      <w:r>
        <w:t>Die beglaubigte Abschrift des Testaments vom 2. März 2019 und die Eröffnungsniederschrift des Amtsgerichts Witzenhausen vom 22. Mai 2026, Aktenzeichen VI 214/26, liegen hier vor. Ein Erbschein ist noch nicht erteilt.</w:t>
      </w:r>
    </w:p>
    <w:p>
      <w:pPr>
        <w:pStyle w:val="Heading1"/>
      </w:pPr>
      <w:r>
        <w:t>3. Gesellschaftsunterlagen</w:t>
      </w:r>
    </w:p>
    <w:p>
      <w:pPr>
        <w:widowControl/>
        <w:jc w:val="both"/>
      </w:pPr>
      <w:r>
        <w:t>Das Registergericht hat mit Zwischenverfügung vom 5. Juni 2026 die am 29. Mai 2026 eingereichte Gesellschafterliste beanstandet. Die dort ausgewiesenen Nennbeträge von 60000 Euro und 25000 Euro ergeben zusammen 85000 Euro, während das Stammkapital im Handelsregister weiterhin mit 100000 Euro geführt wird. Die Unterlagen über die Einziehung des Geschäftsanteils des Herrn Felix Dorn im Nennbetrag von 15000 Euro werden deshalb im Original benötigt.</w:t>
      </w:r>
    </w:p>
    <w:p>
      <w:pPr>
        <w:widowControl/>
        <w:jc w:val="both"/>
      </w:pPr>
      <w:r>
        <w:t>Bitte übersenden Sie außerdem die Einladungs-E-Mail zur Gesellschafterversammlung vom 18. Februar 2026, das unterschriebene Protokoll, den Zustellnachweis an Herrn Dorn und die vollständige Satzung in der Fassung vom 14. November 2022.</w:t>
      </w:r>
    </w:p>
    <w:p>
      <w:pPr>
        <w:pStyle w:val="Heading1"/>
      </w:pPr>
      <w:r>
        <w:t>4. Grundstück, Finanzierung und Altbelastung</w:t>
      </w:r>
    </w:p>
    <w:p>
      <w:pPr>
        <w:widowControl/>
        <w:jc w:val="both"/>
      </w:pPr>
      <w:r>
        <w:t>Gegenstand des Kaufvertrags ist das im Grundbuch von Gertenbach Blatt 1328 verzeichnete Grundstück, Gemarkung Gertenbach, Flur 4, Flurstück 118/7, Gebäude- und Freifläche Im Feld 7, Größe 8420 Quadratmeter. Der Kaufpreis soll 1260000 Euro betragen.</w:t>
      </w:r>
    </w:p>
    <w:p>
      <w:pPr>
        <w:widowControl/>
        <w:jc w:val="both"/>
      </w:pPr>
      <w:r>
        <w:t>In Abteilung II ist unter laufender Nummer 3 ein Fahr- und Leitungsrecht zugunsten des jeweiligen Eigentümers des Flurstücks 118/6 eingetragen. Bitte bringen Sie die Vereinbarung mit dem Nachbarn Heinrich Möller vom 7. September 2018 und den Lageplan mit farblicher Markierung des tatsächlich genutzten Weges mit.</w:t>
      </w:r>
    </w:p>
    <w:p>
      <w:pPr>
        <w:widowControl/>
        <w:jc w:val="both"/>
      </w:pPr>
      <w:r>
        <w:t>Die Weserland Bank AG hat die Darlehensauszahlung von einer ranggerechten Eintragung ihrer Grundschuld über 1100000 Euro und einer schriftlichen Rangbestätigung abhängig gemacht. Die Nordhessische Handelsbank AG soll ihre in Abteilung III unter Nummer 2 eingetragene Grundschuld über 950000 Euro ablösen. Die Ablösemitteilung mit Tagesbetrag zum 30. Juni 2026 fehlt noch.</w:t>
      </w:r>
    </w:p>
    <w:p>
      <w:pPr>
        <w:pStyle w:val="Heading1"/>
      </w:pPr>
      <w:r>
        <w:t>5. Ablauf am Beurkundungstag</w:t>
      </w:r>
    </w:p>
    <w:p>
      <w:pPr>
        <w:widowControl/>
        <w:jc w:val="both"/>
      </w:pPr>
      <w:r>
        <w:t>Zwischen 9:30 Uhr und 9:50 Uhr werden die Ausweise aufgenommen und die Dolmetscherin verpflichtet. Von 10:00 Uhr bis voraussichtlich 11:45 Uhr ist die Anteilsurkunde vorgesehen. Nach einer Pause soll ab 12:15 Uhr der Grundstückskaufvertrag verlesen werden. Für Rückfragen zur Finanzierung ist Frau Nina Gerlach von der Weserland Bank AG zwischen 12:30 Uhr und 13:30 Uhr telefonisch erreichbar.</w:t>
      </w:r>
    </w:p>
    <w:p>
      <w:pPr>
        <w:widowControl/>
        <w:jc w:val="both"/>
      </w:pPr>
      <w:r>
        <w:t>Sollte die Originalvollmacht nicht rechtzeitig eingehen, bitten wir um unverzügliche Nachricht. Die Beteiligten werden gebeten, Änderungen an den Entwürfen bis spätestens 16. Juni 2026, 15:00 Uhr, in einer konsolidierten Fassung einzureichen.</w:t>
      </w:r>
    </w:p>
    <w:p>
      <w:pPr>
        <w:widowControl/>
        <w:jc w:val="left"/>
      </w:pPr>
      <w:r>
        <w:rPr>
          <w:rFonts w:ascii="Arial" w:hAnsi="Arial"/>
          <w:sz w:val="20"/>
        </w:rPr>
        <w:t>Bitte bestätigen Sie den Termin und teilen Sie bis 12. Juni 2026 mit, welche Unterlagen Sie persönlich mitbringen und welche vorab durch das Sekretariat übersandt werden.</w:t>
      </w:r>
    </w:p>
    <w:p>
      <w:pPr>
        <w:widowControl/>
        <w:jc w:val="left"/>
      </w:pPr>
      <w:r>
        <w:rPr>
          <w:rFonts w:ascii="Arial" w:hAnsi="Arial"/>
          <w:sz w:val="20"/>
        </w:rPr>
        <w:t>Mit freundlichen Grüßen</w:t>
      </w:r>
    </w:p>
    <w:p>
      <w:pPr>
        <w:widowControl/>
        <w:jc w:val="left"/>
      </w:pPr>
      <w:r>
        <w:rPr>
          <w:rFonts w:ascii="Arial" w:hAnsi="Arial"/>
          <w:b/>
          <w:sz w:val="20"/>
        </w:rPr>
        <w:t>Dr. Katharina Mertens</w:t>
        <w:br/>
      </w:r>
      <w:r>
        <w:rPr>
          <w:rFonts w:ascii="Arial" w:hAnsi="Arial"/>
          <w:sz w:val="20"/>
        </w:rPr>
        <w:t>Notarin</w:t>
      </w:r>
    </w:p>
    <w:p>
      <w:pPr>
        <w:widowControl/>
        <w:jc w:val="left"/>
      </w:pPr>
      <w:r>
        <w:rPr>
          <w:rFonts w:ascii="Arial" w:hAnsi="Arial"/>
          <w:sz w:val="20"/>
        </w:rPr>
        <w:t>Anlagen: Entwurf Anteilsübertragung vom 10. Juni 2026; Entwurf Grundstückskaufvertrag vom 10. Juni 2026; Unterlagenliste Stand 10. Juni 2026</w:t>
      </w:r>
    </w:p>
    <w:sectPr w:rsidR="00FC693F" w:rsidRPr="0006063C" w:rsidSect="00034616">
      <w:headerReference w:type="default" r:id="rId9"/>
      <w:footerReference w:type="default" r:id="rId10"/>
      <w:pgSz w:w="11906" w:h="16838"/>
      <w:pgMar w:top="1191" w:right="1219" w:bottom="1020" w:left="1276"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7"/>
      </w:rPr>
      <w:t xml:space="preserve">Seite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b/>
        <w:color w:val="192B3A"/>
        <w:sz w:val="18"/>
      </w:rPr>
      <w:t>Notarin Dr. Katharina Mertens</w:t>
    </w:r>
    <w:r>
      <w:rPr>
        <w:rFonts w:ascii="Arial" w:hAnsi="Arial"/>
        <w:color w:val="5B6770"/>
        <w:sz w:val="16"/>
      </w:rPr>
      <w:t xml:space="preserve">   |   N 184/2026 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192B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115B69"/>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92B3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rial" w:hAnsi="Arial"/>
      <w:b/>
      <w:color w:val="192B3A"/>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