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keepNext/>
      </w:pPr>
      <w:r>
        <w:t>Anteilskauf- und Abtretungsvertrag</w:t>
      </w:r>
    </w:p>
    <w:p>
      <w:pPr>
        <w:spacing w:after="240"/>
      </w:pPr>
      <w:r>
        <w:rPr>
          <w:rFonts w:ascii="Arial" w:hAnsi="Arial"/>
          <w:color w:val="5B6770"/>
          <w:sz w:val="22"/>
        </w:rPr>
        <w:t>Waldwinkel Immobilien GmbH · Entwurfsstand 11. Juni 2026, 16:20 Uhr</w:t>
      </w:r>
    </w:p>
    <w:tbl>
      <w:tblPr>
        <w:tblW w:type="auto" w:w="0"/>
        <w:jc w:val="left"/>
        <w:tblLayout w:type="fixed"/>
        <w:tblLook w:firstColumn="1" w:firstRow="1" w:lastColumn="0" w:lastRow="0" w:noHBand="0" w:noVBand="1" w:val="04A0"/>
      </w:tblPr>
      <w:tblGrid>
        <w:gridCol w:w="4705"/>
        <w:gridCol w:w="4705"/>
      </w:tblGrid>
      <w:tr>
        <w:tc>
          <w:tcPr>
            <w:tcW w:type="dxa" w:w="1984"/>
            <w:vAlign w:val="center"/>
          </w:tcPr>
          <w:p>
            <w:pPr>
              <w:spacing w:after="0"/>
            </w:pPr>
            <w:r>
              <w:rPr>
                <w:rFonts w:ascii="Arial" w:hAnsi="Arial"/>
                <w:b/>
                <w:color w:val="5B6770"/>
                <w:sz w:val="18"/>
              </w:rPr>
              <w:t>Urkundenrolle</w:t>
            </w:r>
          </w:p>
        </w:tc>
        <w:tc>
          <w:tcPr>
            <w:tcW w:type="dxa" w:w="7257"/>
            <w:vAlign w:val="center"/>
          </w:tcPr>
          <w:p>
            <w:pPr>
              <w:spacing w:after="0"/>
            </w:pPr>
            <w:r>
              <w:rPr>
                <w:rFonts w:ascii="Arial" w:hAnsi="Arial"/>
                <w:sz w:val="18"/>
              </w:rPr>
              <w:t>N 184/2026 M</w:t>
            </w:r>
          </w:p>
        </w:tc>
      </w:tr>
      <w:tr>
        <w:tc>
          <w:tcPr>
            <w:tcW w:type="dxa" w:w="1984"/>
            <w:vAlign w:val="center"/>
          </w:tcPr>
          <w:p>
            <w:pPr>
              <w:spacing w:after="0"/>
            </w:pPr>
            <w:r>
              <w:rPr>
                <w:rFonts w:ascii="Arial" w:hAnsi="Arial"/>
                <w:b/>
                <w:color w:val="5B6770"/>
                <w:sz w:val="18"/>
              </w:rPr>
              <w:t>Beurkundung</w:t>
            </w:r>
          </w:p>
        </w:tc>
        <w:tc>
          <w:tcPr>
            <w:tcW w:type="dxa" w:w="7257"/>
            <w:vAlign w:val="center"/>
          </w:tcPr>
          <w:p>
            <w:pPr>
              <w:spacing w:after="0"/>
            </w:pPr>
            <w:r>
              <w:rPr>
                <w:rFonts w:ascii="Arial" w:hAnsi="Arial"/>
                <w:sz w:val="18"/>
              </w:rPr>
              <w:t>vorgesehen für 18. Juni 2026</w:t>
            </w:r>
          </w:p>
        </w:tc>
      </w:tr>
      <w:tr>
        <w:tc>
          <w:tcPr>
            <w:tcW w:type="dxa" w:w="1984"/>
            <w:vAlign w:val="center"/>
          </w:tcPr>
          <w:p>
            <w:pPr>
              <w:spacing w:after="0"/>
            </w:pPr>
            <w:r>
              <w:rPr>
                <w:rFonts w:ascii="Arial" w:hAnsi="Arial"/>
                <w:b/>
                <w:color w:val="5B6770"/>
                <w:sz w:val="18"/>
              </w:rPr>
              <w:t>Gesellschaft</w:t>
            </w:r>
          </w:p>
        </w:tc>
        <w:tc>
          <w:tcPr>
            <w:tcW w:type="dxa" w:w="7257"/>
            <w:vAlign w:val="center"/>
          </w:tcPr>
          <w:p>
            <w:pPr>
              <w:spacing w:after="0"/>
            </w:pPr>
            <w:r>
              <w:rPr>
                <w:rFonts w:ascii="Arial" w:hAnsi="Arial"/>
                <w:sz w:val="18"/>
              </w:rPr>
              <w:t>Waldwinkel Immobilien GmbH, Amtsgericht Kassel HRB 9812</w:t>
            </w:r>
          </w:p>
        </w:tc>
      </w:tr>
      <w:tr>
        <w:tc>
          <w:tcPr>
            <w:tcW w:type="dxa" w:w="1984"/>
            <w:vAlign w:val="center"/>
          </w:tcPr>
          <w:p>
            <w:pPr>
              <w:spacing w:after="0"/>
            </w:pPr>
            <w:r>
              <w:rPr>
                <w:rFonts w:ascii="Arial" w:hAnsi="Arial"/>
                <w:b/>
                <w:color w:val="5B6770"/>
                <w:sz w:val="18"/>
              </w:rPr>
              <w:t>Stammkapital</w:t>
            </w:r>
          </w:p>
        </w:tc>
        <w:tc>
          <w:tcPr>
            <w:tcW w:type="dxa" w:w="7257"/>
            <w:vAlign w:val="center"/>
          </w:tcPr>
          <w:p>
            <w:pPr>
              <w:spacing w:after="0"/>
            </w:pPr>
            <w:r>
              <w:rPr>
                <w:rFonts w:ascii="Arial" w:hAnsi="Arial"/>
                <w:sz w:val="18"/>
              </w:rPr>
              <w:t>100000 Euro</w:t>
            </w:r>
          </w:p>
        </w:tc>
      </w:tr>
    </w:tbl>
    <w:p>
      <w:pPr>
        <w:spacing w:after="0"/>
      </w:pPr>
    </w:p>
    <w:p>
      <w:pPr>
        <w:pStyle w:val="Heading1"/>
      </w:pPr>
      <w:r>
        <w:t>1. Erschienene und Vertretungsverhältnisse</w:t>
      </w:r>
    </w:p>
    <w:p>
      <w:pPr>
        <w:widowControl/>
        <w:jc w:val="both"/>
      </w:pPr>
      <w:r>
        <w:t>Vor der unterzeichnenden Notarin sollen erscheinen: Charlotte Falk, geboren am 19. August 1978, wohnhaft Kirchstraße 11, 37213 Witzenhausen, handelnd im eigenen Namen, als Geschäftsführerin der Waldwinkel Immobilien GmbH und aufgrund Vollmacht für Eva Falk, geboren am 6. Februar 1982, wohnhaft Rua do Sol 44, 4050-527 Porto, als Alleinerbin nach Karl-Heinz Falk; Piotr Kowalski, geboren am 4. November 1975, wohnhaft Mühlenbrücke 8, 23552 Lübeck, handelnd als Geschäftsführer der Solberg Beteiligungs GmbH.</w:t>
      </w:r>
    </w:p>
    <w:p>
      <w:pPr>
        <w:widowControl/>
        <w:jc w:val="both"/>
      </w:pPr>
      <w:r>
        <w:t>Herr Kowalski erklärt, der deutschen Sprache nicht hinreichend mächtig zu sein. Als Dolmetscherin soll Maria Kaczmarek, geboren am 21. Mai 1970, Geschäftssitz Friedrichsplatz 6, 34117 Kassel, hinzugezogen werden. Die Dolmetscherin soll den Urkundstext vollständig mündlich in die polnische Sprache übertragen.</w:t>
      </w:r>
    </w:p>
    <w:p>
      <w:pPr>
        <w:widowControl/>
        <w:jc w:val="both"/>
      </w:pPr>
      <w:r>
        <w:t>Frau Charlotte Falk soll für Eva Falk aufgrund einer am 3. Juni 2026 vor der portugiesischen Notarin Ana Ribeiro in Porto beglaubigten Vollmacht handeln. Im Entwurf ist noch nicht vermerkt, ob die Ausfertigung mit Apostille und deutscher Übersetzung im Beurkundungstermin vorliegen wird.</w:t>
      </w:r>
    </w:p>
    <w:p>
      <w:pPr>
        <w:pStyle w:val="Heading1"/>
      </w:pPr>
      <w:r>
        <w:t>2. Gesellschaft und Beteiligungsverhältnisse</w:t>
      </w:r>
    </w:p>
    <w:p>
      <w:pPr>
        <w:widowControl/>
        <w:jc w:val="both"/>
      </w:pPr>
      <w:r>
        <w:t>Die Waldwinkel Immobilien GmbH hat ihren Sitz in Witzenhausen und ist im Handelsregister des Amtsgerichts Kassel unter HRB 9812 eingetragen. Das Stammkapital beträgt 100000 Euro. Geschäftsanschrift ist Marktgasse 4, 37213 Witzenhausen.</w:t>
      </w:r>
    </w:p>
    <w:p>
      <w:pPr>
        <w:widowControl/>
        <w:jc w:val="both"/>
      </w:pPr>
      <w:r>
        <w:t>In der beim Handelsregister aufgenommenen Liste vom 14. November 2022 sind Karl-Heinz Falk mit einem Geschäftsanteil im Nennbetrag von 60000 Euro, Charlotte Falk mit einem Geschäftsanteil im Nennbetrag von 25000 Euro und Felix Dorn mit einem Geschäftsanteil im Nennbetrag von 15000 Euro ausgewiesen.</w:t>
      </w:r>
    </w:p>
    <w:p>
      <w:pPr>
        <w:widowControl/>
        <w:jc w:val="both"/>
      </w:pPr>
      <w:r>
        <w:t>Nach dem Protokoll der Gesellschafterversammlung vom 18. Februar 2026 wurde der Geschäftsanteil des Felix Dorn eingezogen. Die am 29. Mai 2026 eingereichte Liste weist den Nachlass Karl-Heinz Falk mit 70,5882 Prozent und Charlotte Falk mit 29,4118 Prozent aus. Das Registergericht hat hierzu mit Schreiben vom 5. Juni 2026 weitere Unterlagen und eine Erläuterung der Nennbeträge angefordert.</w:t>
      </w:r>
    </w:p>
    <w:p>
      <w:pPr>
        <w:pStyle w:val="Heading1"/>
      </w:pPr>
      <w:r>
        <w:t>3. Kaufgegenstand</w:t>
      </w:r>
    </w:p>
    <w:p>
      <w:pPr>
        <w:widowControl/>
        <w:jc w:val="both"/>
      </w:pPr>
      <w:r>
        <w:t>Eva Falk verkauft an die Solberg Beteiligungs GmbH den bislang Karl-Heinz Falk zugeordneten Geschäftsanteil Nummer 1 im Nennbetrag von 60000 Euro mit allen damit verbundenen Rechten und Pflichten. Sie erklärt, dass der Anteil mit dem Tod ihres Vaters Karl-Heinz Falk am 14. Mai 2026 auf sie als Alleinerbin übergegangen ist.</w:t>
      </w:r>
    </w:p>
    <w:p>
      <w:pPr>
        <w:widowControl/>
        <w:jc w:val="both"/>
      </w:pPr>
      <w:r>
        <w:t>Die Übertragung umfasst Gewinnbezugsrechte für das Geschäftsjahr 2026, soweit die Gesellschafterversammlung nicht vor dem Wirksamwerden dieser Abtretung über eine Ausschüttung beschlossen hat. Ansprüche aus dem Gesellschafterdarlehen des Karl-Heinz Falk vom 30. September 2023 über ursprünglich 420000 Euro sind nicht Gegenstand dieses Vertrags.</w:t>
      </w:r>
    </w:p>
    <w:p>
      <w:pPr>
        <w:pStyle w:val="Heading1"/>
      </w:pPr>
      <w:r>
        <w:t>4. Kaufpreis und Zahlung</w:t>
      </w:r>
    </w:p>
    <w:p>
      <w:pPr>
        <w:widowControl/>
        <w:jc w:val="both"/>
      </w:pPr>
      <w:r>
        <w:t>Der Kaufpreis beträgt 1800000 Euro. Davon sind 180000 Euro binnen fünf Bankarbeitstagen nach Beurkundung auf das Anderkonto der Notarin IBAN DE12 5205 0353 0018 4660 19 zu zahlen. Der Restbetrag von 1620000 Euro ist nach schriftlicher Mitteilung der Notarin fällig, dass die in dieser Urkunde benannten Unterlagen vorliegen.</w:t>
      </w:r>
    </w:p>
    <w:p>
      <w:pPr>
        <w:widowControl/>
        <w:jc w:val="both"/>
      </w:pPr>
      <w:r>
        <w:t>Die Solberg Beteiligungs GmbH hat am 9. Juni 2026 eine Finanzierungsbestätigung über 1600000 Euro vorgelegt. Der verbleibende Betrag soll aus Eigenmitteln der Fjordgate Holding AS, Oslo, stammen. Ein Zahlungsnachweis über diese Eigenmittel liegt dem Entwurf noch nicht bei.</w:t>
      </w:r>
    </w:p>
    <w:p>
      <w:pPr>
        <w:pStyle w:val="Heading1"/>
      </w:pPr>
      <w:r>
        <w:t>5. Abtretung und Wirksamkeit</w:t>
      </w:r>
    </w:p>
    <w:p>
      <w:pPr>
        <w:widowControl/>
        <w:jc w:val="both"/>
      </w:pPr>
      <w:r>
        <w:t>Der Verkäufer tritt den in Nummer 3 bezeichneten Geschäftsanteil an die Käuferin ab. Die Käuferin nimmt die Abtretung an. Die Abtretung soll erst wirksam werden, wenn der Kaufpreis vollständig auf dem Anderkonto eingegangen ist und die Notarin dies den Parteien in Textform bestätigt.</w:t>
      </w:r>
    </w:p>
    <w:p>
      <w:pPr>
        <w:widowControl/>
        <w:jc w:val="both"/>
      </w:pPr>
      <w:r>
        <w:t>Die Notarin wird angewiesen, eine neue Gesellschafterliste erst nach Eintritt der vereinbarten Wirksamkeitsvoraussetzungen einzureichen. Die Parteien bitten, die Zwischenverfügung des Registergerichts vom 5. Juni 2026 bei der Erstellung der Liste zu berücksichtigen.</w:t>
      </w:r>
    </w:p>
    <w:p>
      <w:pPr>
        <w:pStyle w:val="Heading1"/>
      </w:pPr>
      <w:r>
        <w:t>6. Erklärungen zu Gesellschaftsunterlagen</w:t>
      </w:r>
    </w:p>
    <w:p>
      <w:pPr>
        <w:widowControl/>
        <w:jc w:val="both"/>
      </w:pPr>
      <w:r>
        <w:t>Der Verkäufer erklärt, dass ihm außer der Satzung vom 14. November 2022, dem Protokoll vom 18. Februar 2026 und der Zwischenverfügung vom 5. Juni 2026 keine weiteren Vereinbarungen über Einziehung, Abfindung oder Stimmrechtsbindung bekannt sind.</w:t>
      </w:r>
    </w:p>
    <w:p>
      <w:pPr>
        <w:widowControl/>
        <w:jc w:val="both"/>
      </w:pPr>
      <w:r>
        <w:t>Die Käuferin bestätigt den Erhalt der Jahresabschlüsse 2023 bis 2025, der Summen- und Saldenliste zum 31. Mai 2026, des Mietvertrags über das Hofgrundstück und der Darlehensübersicht. Die Bestätigung enthält keine Aussage dazu, ob die Unterlagen vollständig oder inhaltlich richtig sind.</w:t>
      </w:r>
    </w:p>
    <w:p>
      <w:pPr>
        <w:pStyle w:val="Heading1"/>
      </w:pPr>
      <w:r>
        <w:t>7. Wirtschaftlich Berechtigte und Zahlungsweg</w:t>
      </w:r>
    </w:p>
    <w:p>
      <w:pPr>
        <w:widowControl/>
        <w:jc w:val="both"/>
      </w:pPr>
      <w:r>
        <w:t>Die Käuferin hat mitgeteilt, dass ihre alleinige Gesellschafterin die Fjordgate Holding AS mit Sitz in Oslo ist. Die Fjordgate Holding AS halte den Geschäftsanteil nach einer Treuhandvereinbarung vom 12. Dezember 2024 für den Nansen Family Trust, St. Helier, Jersey.</w:t>
      </w:r>
    </w:p>
    <w:p>
      <w:pPr>
        <w:widowControl/>
        <w:jc w:val="both"/>
      </w:pPr>
      <w:r>
        <w:t>Als Protector des Trusts ist nach der vorgelegten Zusammenfassung Lars Nansen, geboren am 8. Januar 1961, genannt. Angaben zu den Begünstigten enthalten die bislang übermittelten Unterlagen nicht. Die Beteiligten sind aufgefordert, die vollständige Trusturkunde, das Begünstigtenverzeichnis und einen aktuellen Registerauszug vorzulegen.</w:t>
      </w:r>
    </w:p>
    <w:p>
      <w:pPr>
        <w:pStyle w:val="Heading1"/>
      </w:pPr>
      <w:r>
        <w:t>8. Kosten, Abschriften und Vollzug</w:t>
      </w:r>
    </w:p>
    <w:p>
      <w:pPr>
        <w:widowControl/>
        <w:jc w:val="both"/>
      </w:pPr>
      <w:r>
        <w:t>Die Kosten dieser Urkunde und ihres Vollzugs trägt die Käuferin. Jede Partei erhält eine beglaubigte Abschrift. Die Waldwinkel Immobilien GmbH erhält eine elektronische Abschrift für ihre Gesellschaftsunterlagen.</w:t>
      </w:r>
    </w:p>
    <w:p>
      <w:pPr>
        <w:widowControl/>
        <w:jc w:val="both"/>
      </w:pPr>
      <w:r>
        <w:t>Die Notarin darf dem Registergericht, den finanzierenden Banken und den steuerlichen Beratern diejenigen Abschriften übermitteln, die für den jeweiligen Vollzugsvorgang angefordert werden. Weitergehende Vollmachten bedürfen einer gesonderten Erklärung.</w:t>
      </w:r>
    </w:p>
    <w:p>
      <w:pPr>
        <w:pStyle w:val="Heading1"/>
      </w:pPr>
      <w:r>
        <w:t>9. Schlussbestimmungen</w:t>
      </w:r>
    </w:p>
    <w:p>
      <w:pPr>
        <w:widowControl/>
        <w:jc w:val="both"/>
      </w:pPr>
      <w:r>
        <w:t>Änderungen und Ergänzungen dieses Vertrags sollen beurkundet werden, soweit eine gesetzliche Form erforderlich ist. Sollte eine Bestimmung unwirksam sein, bleiben die übrigen Erklärungen unberührt; an die Stelle der unwirksamen Bestimmung tritt keine von der Notarin vorformulierte Ersatzregelung.</w:t>
      </w:r>
    </w:p>
    <w:p>
      <w:pPr>
        <w:widowControl/>
        <w:jc w:val="both"/>
      </w:pPr>
      <w:r>
        <w:t>Die Urkunde soll den Beteiligten einschließlich der Dolmetscherin vorgelesen, von der Dolmetscherin übertragen, von den Beteiligten genehmigt und eigenhändig unterschrieben werden.</w:t>
      </w:r>
    </w:p>
    <w:p/>
    <w:p>
      <w:pPr>
        <w:keepLines/>
      </w:pPr>
      <w:r>
        <w:rPr>
          <w:rFonts w:ascii="Arial" w:hAnsi="Arial"/>
          <w:b/>
          <w:sz w:val="20"/>
        </w:rPr>
        <w:t>Entwurf zur Durchsicht</w:t>
        <w:br/>
      </w:r>
      <w:r>
        <w:rPr>
          <w:rFonts w:ascii="Arial" w:hAnsi="Arial"/>
          <w:sz w:val="20"/>
        </w:rPr>
        <w:t>Dr. Katharina Mertens, Notarin</w:t>
        <w:br/>
      </w:r>
      <w:r>
        <w:rPr>
          <w:rFonts w:ascii="Arial" w:hAnsi="Arial"/>
          <w:sz w:val="20"/>
        </w:rPr>
        <w:t>Stand: 11. Juni 2026, 16:20 Uhr</w:t>
      </w:r>
    </w:p>
    <w:sectPr w:rsidR="00FC693F" w:rsidRPr="0006063C" w:rsidSect="00034616">
      <w:headerReference w:type="default" r:id="rId9"/>
      <w:footerReference w:type="default" r:id="rId10"/>
      <w:pgSz w:w="11906" w:h="16838"/>
      <w:pgMar w:top="1191" w:right="1219" w:bottom="1020" w:left="1276" w:header="425" w:footer="425"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rial" w:hAnsi="Arial"/>
        <w:sz w:val="17"/>
      </w:rPr>
      <w:t xml:space="preserve">Seite </w:t>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rPr>
        <w:rFonts w:ascii="Arial" w:hAnsi="Arial"/>
        <w:b/>
        <w:color w:val="192B3A"/>
        <w:sz w:val="18"/>
      </w:rPr>
      <w:t>Notarin Dr. Katharina Mertens</w:t>
    </w:r>
    <w:r>
      <w:rPr>
        <w:rFonts w:ascii="Arial" w:hAnsi="Arial"/>
        <w:color w:val="5B6770"/>
        <w:sz w:val="16"/>
      </w:rPr>
      <w:t xml:space="preserve">   |   Entwurf · N 184/2026 M</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Arial" w:hAnsi="Arial"/>
      <w:color w:val="192B3A"/>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40"/>
      <w:outlineLvl w:val="0"/>
    </w:pPr>
    <w:rPr>
      <w:rFonts w:asciiTheme="majorHAnsi" w:eastAsiaTheme="majorEastAsia" w:hAnsiTheme="majorHAnsi" w:cstheme="majorBidi" w:ascii="Arial" w:hAnsi="Arial"/>
      <w:b/>
      <w:bCs/>
      <w:color w:val="115B69"/>
      <w:sz w:val="28"/>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rial" w:hAnsi="Arial"/>
      <w:b/>
      <w:bCs/>
      <w:color w:val="192B3A"/>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40" w:line="240" w:lineRule="auto" w:before="0"/>
      <w:contextualSpacing/>
    </w:pPr>
    <w:rPr>
      <w:rFonts w:asciiTheme="majorHAnsi" w:eastAsiaTheme="majorEastAsia" w:hAnsiTheme="majorHAnsi" w:cstheme="majorBidi" w:ascii="Arial" w:hAnsi="Arial"/>
      <w:b/>
      <w:color w:val="192B3A"/>
      <w:spacing w:val="5"/>
      <w:kern w:val="28"/>
      <w:sz w:val="3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