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Arial" w:hAnsi="Arial"/>
          <w:color w:val="5B6770"/>
          <w:sz w:val="17"/>
        </w:rPr>
        <w:t>Notarin Dr. Katharina Mertens · Marktstraße 18 · 37213 Witzenhausen</w:t>
        <w:br/>
      </w:r>
      <w:r>
        <w:rPr>
          <w:rFonts w:ascii="Arial" w:hAnsi="Arial"/>
          <w:color w:val="5B6770"/>
          <w:sz w:val="16"/>
        </w:rPr>
        <w:t>Telefon 05542 9178-0 · Telefax 05542 9178-19 · post@notariat-mertens.de</w:t>
        <w:br/>
      </w:r>
      <w:r>
        <w:rPr>
          <w:rFonts w:ascii="Arial" w:hAnsi="Arial"/>
          <w:color w:val="5B6770"/>
          <w:sz w:val="16"/>
        </w:rPr>
        <w:t>Anderkonto IBAN DE12 5205 0353 0018 4660 19 · BIC HELADEF1KAS</w:t>
      </w:r>
    </w:p>
    <w:p>
      <w:pPr>
        <w:spacing w:after="280"/>
      </w:pPr>
      <w:r>
        <w:rPr>
          <w:rFonts w:ascii="Arial" w:hAnsi="Arial"/>
          <w:b/>
          <w:sz w:val="21"/>
        </w:rPr>
        <w:t>Solberg Beteiligungs GmbH</w:t>
        <w:br/>
      </w:r>
      <w:r>
        <w:rPr>
          <w:rFonts w:ascii="Arial" w:hAnsi="Arial"/>
          <w:sz w:val="21"/>
        </w:rPr>
        <w:t>Herrn Geschäftsführer Piotr Kowalski</w:t>
        <w:br/>
      </w:r>
      <w:r>
        <w:rPr>
          <w:rFonts w:ascii="Arial" w:hAnsi="Arial"/>
          <w:sz w:val="21"/>
        </w:rPr>
        <w:t>Beckergrube 34</w:t>
        <w:br/>
      </w:r>
      <w:r>
        <w:rPr>
          <w:rFonts w:ascii="Arial" w:hAnsi="Arial"/>
          <w:sz w:val="21"/>
        </w:rPr>
        <w:t>23552 Lübeck</w:t>
      </w:r>
    </w:p>
    <w:tbl>
      <w:tblPr>
        <w:tblW w:type="auto" w:w="0"/>
        <w:jc w:val="left"/>
        <w:tblLayout w:type="fixed"/>
        <w:tblLook w:firstColumn="1" w:firstRow="1" w:lastColumn="0" w:lastRow="0" w:noHBand="0" w:noVBand="1" w:val="04A0"/>
      </w:tblPr>
      <w:tblGrid>
        <w:gridCol w:w="4705"/>
        <w:gridCol w:w="4705"/>
      </w:tblGrid>
      <w:tr>
        <w:tc>
          <w:tcPr>
            <w:tcW w:type="dxa" w:w="1984"/>
            <w:vAlign w:val="center"/>
          </w:tcPr>
          <w:p>
            <w:pPr>
              <w:spacing w:after="0"/>
            </w:pPr>
            <w:r>
              <w:rPr>
                <w:rFonts w:ascii="Arial" w:hAnsi="Arial"/>
                <w:b/>
                <w:color w:val="5B6770"/>
                <w:sz w:val="18"/>
              </w:rPr>
              <w:t>Unser Zeichen</w:t>
            </w:r>
          </w:p>
        </w:tc>
        <w:tc>
          <w:tcPr>
            <w:tcW w:type="dxa" w:w="7257"/>
            <w:vAlign w:val="center"/>
          </w:tcPr>
          <w:p>
            <w:pPr>
              <w:spacing w:after="0"/>
            </w:pPr>
            <w:r>
              <w:rPr>
                <w:rFonts w:ascii="Arial" w:hAnsi="Arial"/>
                <w:sz w:val="18"/>
              </w:rPr>
              <w:t>N 184/2026 M</w:t>
            </w:r>
          </w:p>
        </w:tc>
      </w:tr>
      <w:tr>
        <w:tc>
          <w:tcPr>
            <w:tcW w:type="dxa" w:w="1984"/>
            <w:vAlign w:val="center"/>
          </w:tcPr>
          <w:p>
            <w:pPr>
              <w:spacing w:after="0"/>
            </w:pPr>
            <w:r>
              <w:rPr>
                <w:rFonts w:ascii="Arial" w:hAnsi="Arial"/>
                <w:b/>
                <w:color w:val="5B6770"/>
                <w:sz w:val="18"/>
              </w:rPr>
              <w:t>Bearbeiterin</w:t>
            </w:r>
          </w:p>
        </w:tc>
        <w:tc>
          <w:tcPr>
            <w:tcW w:type="dxa" w:w="7257"/>
            <w:vAlign w:val="center"/>
          </w:tcPr>
          <w:p>
            <w:pPr>
              <w:spacing w:after="0"/>
            </w:pPr>
            <w:r>
              <w:rPr>
                <w:rFonts w:ascii="Arial" w:hAnsi="Arial"/>
                <w:sz w:val="18"/>
              </w:rPr>
              <w:t>Leonie Brandt</w:t>
            </w:r>
          </w:p>
        </w:tc>
      </w:tr>
      <w:tr>
        <w:tc>
          <w:tcPr>
            <w:tcW w:type="dxa" w:w="1984"/>
            <w:vAlign w:val="center"/>
          </w:tcPr>
          <w:p>
            <w:pPr>
              <w:spacing w:after="0"/>
            </w:pPr>
            <w:r>
              <w:rPr>
                <w:rFonts w:ascii="Arial" w:hAnsi="Arial"/>
                <w:b/>
                <w:color w:val="5B6770"/>
                <w:sz w:val="18"/>
              </w:rPr>
              <w:t>Datum</w:t>
            </w:r>
          </w:p>
        </w:tc>
        <w:tc>
          <w:tcPr>
            <w:tcW w:type="dxa" w:w="7257"/>
            <w:vAlign w:val="center"/>
          </w:tcPr>
          <w:p>
            <w:pPr>
              <w:spacing w:after="0"/>
            </w:pPr>
            <w:r>
              <w:rPr>
                <w:rFonts w:ascii="Arial" w:hAnsi="Arial"/>
                <w:sz w:val="18"/>
              </w:rPr>
              <w:t>11. Juni 2026</w:t>
            </w:r>
          </w:p>
        </w:tc>
      </w:tr>
      <w:tr>
        <w:tc>
          <w:tcPr>
            <w:tcW w:type="dxa" w:w="1984"/>
            <w:vAlign w:val="center"/>
          </w:tcPr>
          <w:p>
            <w:pPr>
              <w:spacing w:after="0"/>
            </w:pPr>
            <w:r>
              <w:rPr>
                <w:rFonts w:ascii="Arial" w:hAnsi="Arial"/>
                <w:b/>
                <w:color w:val="5B6770"/>
                <w:sz w:val="18"/>
              </w:rPr>
              <w:t>Rücklauf erbeten</w:t>
            </w:r>
          </w:p>
        </w:tc>
        <w:tc>
          <w:tcPr>
            <w:tcW w:type="dxa" w:w="7257"/>
            <w:vAlign w:val="center"/>
          </w:tcPr>
          <w:p>
            <w:pPr>
              <w:spacing w:after="0"/>
            </w:pPr>
            <w:r>
              <w:rPr>
                <w:rFonts w:ascii="Arial" w:hAnsi="Arial"/>
                <w:sz w:val="18"/>
              </w:rPr>
              <w:t>bis 15. Juni 2026, 10:00 Uhr</w:t>
            </w:r>
          </w:p>
        </w:tc>
      </w:tr>
    </w:tbl>
    <w:p>
      <w:pPr>
        <w:spacing w:after="0"/>
      </w:pPr>
    </w:p>
    <w:p>
      <w:pPr>
        <w:pStyle w:val="Title"/>
        <w:keepNext/>
      </w:pPr>
      <w:r>
        <w:t>Unterlagen zur Eigentums- und Kontrollstruktur</w:t>
      </w:r>
    </w:p>
    <w:p>
      <w:pPr>
        <w:widowControl/>
        <w:jc w:val="both"/>
      </w:pPr>
      <w:r>
        <w:t>Sehr geehrter Herr Kowalski,</w:t>
      </w:r>
    </w:p>
    <w:p>
      <w:pPr>
        <w:widowControl/>
        <w:jc w:val="both"/>
      </w:pPr>
      <w:r>
        <w:t>für die vorgesehene Beurkundung der Geschäftsanteilsübertragung am 18. Juni 2026 benötigen wir ergänzende Unterlagen zur Beteiligungs- und Kontrollstruktur der Solberg Beteiligungs GmbH. Die bislang übersandte Organigrammseite vom 6. Juni 2026 endet bei der Fjordgate Holding AS und enthält lediglich einen Hinweis auf eine Treuhandvereinbarung.</w:t>
      </w:r>
    </w:p>
    <w:p>
      <w:pPr>
        <w:pStyle w:val="Heading1"/>
      </w:pPr>
      <w:r>
        <w:t>1. Solberg Beteiligungs GmbH</w:t>
      </w:r>
    </w:p>
    <w:p>
      <w:pPr>
        <w:widowControl/>
        <w:jc w:val="both"/>
      </w:pPr>
      <w:r>
        <w:t>Bitte reichen Sie einen aktuellen Handelsregisterauszug, die geltende Gesellschafterliste, die Satzung und eine Kopie des Gesellschafterbeschlusses über den Erwerb des Geschäftsanteils an der Waldwinkel Immobilien GmbH ein. Der Registerauszug vom 4. Januar 2026 ist für die Beurkundung nicht mehr aktuell.</w:t>
      </w:r>
    </w:p>
    <w:p>
      <w:pPr>
        <w:widowControl/>
        <w:jc w:val="both"/>
      </w:pPr>
      <w:r>
        <w:t>Bitte bestätigen Sie außerdem die Geschäftsanschrift Beckergrube 34, 23552 Lübeck, und die Bankverbindung, von der die Kaufpreiszahlung erfolgen soll.</w:t>
      </w:r>
    </w:p>
    <w:p>
      <w:pPr>
        <w:pStyle w:val="Heading1"/>
      </w:pPr>
      <w:r>
        <w:t>2. Fjordgate Holding AS</w:t>
      </w:r>
    </w:p>
    <w:p>
      <w:pPr>
        <w:widowControl/>
        <w:jc w:val="both"/>
      </w:pPr>
      <w:r>
        <w:t>Benötigt werden ein Registerauszug des norwegischen Unternehmensregisters mit Ausstellungsdatum nach dem 1. Juni 2026, die Satzung, eine Liste der Verwaltungsratsmitglieder und ein Nachweis über die Vertretungsbefugnis derjenigen Person, die den Finanzierungsbeschluss vom 7. Juni 2026 unterzeichnet hat.</w:t>
      </w:r>
    </w:p>
    <w:p>
      <w:pPr>
        <w:widowControl/>
        <w:jc w:val="both"/>
      </w:pPr>
      <w:r>
        <w:t>Die Unterlagen können zunächst in norwegischer oder englischer Sprache eingereicht werden. Für die Beurkundung behalten wir uns vor, eine deutsche Übersetzung einzelner Passagen anzufordern.</w:t>
      </w:r>
    </w:p>
    <w:p>
      <w:pPr>
        <w:pStyle w:val="Heading1"/>
      </w:pPr>
      <w:r>
        <w:t>3. Nansen Family Trust</w:t>
      </w:r>
    </w:p>
    <w:p>
      <w:pPr>
        <w:widowControl/>
        <w:jc w:val="both"/>
      </w:pPr>
      <w:r>
        <w:t>Aus der Zusammenfassung vom 6. Juni 2026 ergibt sich, dass die Fjordgate Holding AS Geschäftsanteile treuhänderisch für den Nansen Family Trust, St. Helier, Jersey, hält. Bitte übersenden Sie die Trusturkunde vom 12. Dezember 2024 einschließlich sämtlicher Nachträge, die Namen und Geburtsdaten der Trustees, des Protectors und der gegenwärtig bestimmten Begünstigten.</w:t>
      </w:r>
    </w:p>
    <w:p>
      <w:pPr>
        <w:widowControl/>
        <w:jc w:val="both"/>
      </w:pPr>
      <w:r>
        <w:t>Soweit Begünstigte nur nach Gruppenmerkmalen bezeichnet sind, bitten wir um die genaue Formulierung der Begünstigtenklasse und die Namen der Personen, die derzeit Ausschüttungen erhalten oder verlangen können. Die bisherige Angabe Familie Nansen reicht für die Zuordnung nicht aus.</w:t>
      </w:r>
    </w:p>
    <w:p>
      <w:pPr>
        <w:pStyle w:val="Heading1"/>
      </w:pPr>
      <w:r>
        <w:t>4. Kaufpreis und Mittelherkunft</w:t>
      </w:r>
    </w:p>
    <w:p>
      <w:pPr>
        <w:widowControl/>
        <w:jc w:val="both"/>
      </w:pPr>
      <w:r>
        <w:t>Der Kaufpreis beträgt nach dem Entwurf 1800000 Euro. Die Finanzierungsbestätigung der Küstenbank Lübeck eG deckt 1600000 Euro ab. Für den Eigenmittelanteil von 200000 Euro bitten wir um einen Kontoauszug der Fjordgate Holding AS und um die Zahlungsanweisung an die Solberg Beteiligungs GmbH.</w:t>
      </w:r>
    </w:p>
    <w:p>
      <w:pPr>
        <w:widowControl/>
        <w:jc w:val="both"/>
      </w:pPr>
      <w:r>
        <w:t>Bitte teilen Sie mit, ob die Kaufpreiszahlung in einer Summe vom Konto der Solberg Beteiligungs GmbH oder teilweise unmittelbar von der Fjordgate Holding AS erfolgen soll. Zahlungen Dritter dürfen nicht ohne vorherige Zuordnung auf dem Anderkonto eingehen.</w:t>
      </w:r>
    </w:p>
    <w:p>
      <w:pPr>
        <w:widowControl/>
        <w:jc w:val="left"/>
      </w:pPr>
      <w:r>
        <w:rPr>
          <w:rFonts w:ascii="Arial" w:hAnsi="Arial"/>
          <w:sz w:val="20"/>
        </w:rPr>
        <w:t>Bitte senden Sie die Unterlagen als vollständige, lesbare PDF-Dateien. Einzelne Fotografien von Seiten oder abgeschnittene Mobiltelefonaufnahmen können nicht verarbeitet werden.</w:t>
      </w:r>
    </w:p>
    <w:p>
      <w:pPr>
        <w:widowControl/>
        <w:jc w:val="left"/>
      </w:pPr>
      <w:r>
        <w:rPr>
          <w:rFonts w:ascii="Arial" w:hAnsi="Arial"/>
          <w:sz w:val="20"/>
        </w:rPr>
        <w:t>Mit freundlichen Grüßen</w:t>
      </w:r>
    </w:p>
    <w:p>
      <w:pPr>
        <w:widowControl/>
        <w:jc w:val="left"/>
      </w:pPr>
      <w:r>
        <w:rPr>
          <w:rFonts w:ascii="Arial" w:hAnsi="Arial"/>
          <w:b/>
          <w:sz w:val="20"/>
        </w:rPr>
        <w:t>Dr. Katharina Mertens</w:t>
        <w:br/>
      </w:r>
      <w:r>
        <w:rPr>
          <w:rFonts w:ascii="Arial" w:hAnsi="Arial"/>
          <w:sz w:val="20"/>
        </w:rPr>
        <w:t>Notarin</w:t>
      </w:r>
    </w:p>
    <w:sectPr w:rsidR="00FC693F" w:rsidRPr="0006063C" w:rsidSect="00034616">
      <w:headerReference w:type="default" r:id="rId9"/>
      <w:footerReference w:type="default" r:id="rId10"/>
      <w:pgSz w:w="11906" w:h="16838"/>
      <w:pgMar w:top="1191" w:right="1219" w:bottom="1020" w:left="1276"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7"/>
      </w:rPr>
      <w:t xml:space="preserve">Seite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192B3A"/>
        <w:sz w:val="18"/>
      </w:rPr>
      <w:t>Notarin Dr. Katharina Mertens</w:t>
    </w:r>
    <w:r>
      <w:rPr>
        <w:rFonts w:ascii="Arial" w:hAnsi="Arial"/>
        <w:color w:val="5B6770"/>
        <w:sz w:val="16"/>
      </w:rPr>
      <w:t xml:space="preserve">   |   N 184/2026 M · Beteiligtenprüfung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15B69"/>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92B3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92B3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