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Aktennotiz zum Telefonat mit Eva Falk</w:t>
      </w:r>
    </w:p>
    <w:p>
      <w:pPr>
        <w:spacing w:after="240"/>
      </w:pPr>
      <w:r>
        <w:rPr>
          <w:rFonts w:ascii="Arial" w:hAnsi="Arial"/>
          <w:color w:val="5B6770"/>
          <w:sz w:val="22"/>
        </w:rPr>
        <w:t>Telefonat am 12. Juni 2026 von 11:47 Uhr bis 12:21 Uhr</w:t>
      </w:r>
    </w:p>
    <w:tbl>
      <w:tblPr>
        <w:tblW w:type="auto" w:w="0"/>
        <w:jc w:val="left"/>
        <w:tblLayout w:type="fixed"/>
        <w:tblLook w:firstColumn="1" w:firstRow="1" w:lastColumn="0" w:lastRow="0" w:noHBand="0" w:noVBand="1" w:val="04A0"/>
      </w:tblPr>
      <w:tblGrid>
        <w:gridCol w:w="4705"/>
        <w:gridCol w:w="4705"/>
      </w:tblGrid>
      <w:tr>
        <w:tc>
          <w:tcPr>
            <w:tcW w:type="dxa" w:w="1984"/>
            <w:vAlign w:val="center"/>
          </w:tcPr>
          <w:p>
            <w:pPr>
              <w:spacing w:after="0"/>
            </w:pPr>
            <w:r>
              <w:rPr>
                <w:rFonts w:ascii="Arial" w:hAnsi="Arial"/>
                <w:b/>
                <w:color w:val="5B6770"/>
                <w:sz w:val="18"/>
              </w:rPr>
              <w:t>Aktenzeichen</w:t>
            </w:r>
          </w:p>
        </w:tc>
        <w:tc>
          <w:tcPr>
            <w:tcW w:type="dxa" w:w="7257"/>
            <w:vAlign w:val="center"/>
          </w:tcPr>
          <w:p>
            <w:pPr>
              <w:spacing w:after="0"/>
            </w:pPr>
            <w:r>
              <w:rPr>
                <w:rFonts w:ascii="Arial" w:hAnsi="Arial"/>
                <w:sz w:val="18"/>
              </w:rPr>
              <w:t>N 184/2026 M</w:t>
            </w:r>
          </w:p>
        </w:tc>
      </w:tr>
      <w:tr>
        <w:tc>
          <w:tcPr>
            <w:tcW w:type="dxa" w:w="1984"/>
            <w:vAlign w:val="center"/>
          </w:tcPr>
          <w:p>
            <w:pPr>
              <w:spacing w:after="0"/>
            </w:pPr>
            <w:r>
              <w:rPr>
                <w:rFonts w:ascii="Arial" w:hAnsi="Arial"/>
                <w:b/>
                <w:color w:val="5B6770"/>
                <w:sz w:val="18"/>
              </w:rPr>
              <w:t>Gesprächspartnerin</w:t>
            </w:r>
          </w:p>
        </w:tc>
        <w:tc>
          <w:tcPr>
            <w:tcW w:type="dxa" w:w="7257"/>
            <w:vAlign w:val="center"/>
          </w:tcPr>
          <w:p>
            <w:pPr>
              <w:spacing w:after="0"/>
            </w:pPr>
            <w:r>
              <w:rPr>
                <w:rFonts w:ascii="Arial" w:hAnsi="Arial"/>
                <w:sz w:val="18"/>
              </w:rPr>
              <w:t>Eva Falk, Porto</w:t>
            </w:r>
          </w:p>
        </w:tc>
      </w:tr>
      <w:tr>
        <w:tc>
          <w:tcPr>
            <w:tcW w:type="dxa" w:w="1984"/>
            <w:vAlign w:val="center"/>
          </w:tcPr>
          <w:p>
            <w:pPr>
              <w:spacing w:after="0"/>
            </w:pPr>
            <w:r>
              <w:rPr>
                <w:rFonts w:ascii="Arial" w:hAnsi="Arial"/>
                <w:b/>
                <w:color w:val="5B6770"/>
                <w:sz w:val="18"/>
              </w:rPr>
              <w:t>Aufgenommen von</w:t>
            </w:r>
          </w:p>
        </w:tc>
        <w:tc>
          <w:tcPr>
            <w:tcW w:type="dxa" w:w="7257"/>
            <w:vAlign w:val="center"/>
          </w:tcPr>
          <w:p>
            <w:pPr>
              <w:spacing w:after="0"/>
            </w:pPr>
            <w:r>
              <w:rPr>
                <w:rFonts w:ascii="Arial" w:hAnsi="Arial"/>
                <w:sz w:val="18"/>
              </w:rPr>
              <w:t>Ruth Seidel, Notarfachwirtin</w:t>
            </w:r>
          </w:p>
        </w:tc>
      </w:tr>
      <w:tr>
        <w:tc>
          <w:tcPr>
            <w:tcW w:type="dxa" w:w="1984"/>
            <w:vAlign w:val="center"/>
          </w:tcPr>
          <w:p>
            <w:pPr>
              <w:spacing w:after="0"/>
            </w:pPr>
            <w:r>
              <w:rPr>
                <w:rFonts w:ascii="Arial" w:hAnsi="Arial"/>
                <w:b/>
                <w:color w:val="5B6770"/>
                <w:sz w:val="18"/>
              </w:rPr>
              <w:t>Rückrufnummer</w:t>
            </w:r>
          </w:p>
        </w:tc>
        <w:tc>
          <w:tcPr>
            <w:tcW w:type="dxa" w:w="7257"/>
            <w:vAlign w:val="center"/>
          </w:tcPr>
          <w:p>
            <w:pPr>
              <w:spacing w:after="0"/>
            </w:pPr>
            <w:r>
              <w:rPr>
                <w:rFonts w:ascii="Arial" w:hAnsi="Arial"/>
                <w:sz w:val="18"/>
              </w:rPr>
              <w:t>+351 220 184 762</w:t>
            </w:r>
          </w:p>
        </w:tc>
      </w:tr>
    </w:tbl>
    <w:p>
      <w:pPr>
        <w:spacing w:after="0"/>
      </w:pPr>
    </w:p>
    <w:p>
      <w:pPr>
        <w:pStyle w:val="Heading1"/>
      </w:pPr>
      <w:r>
        <w:t>1. Anlass des Anrufs</w:t>
      </w:r>
    </w:p>
    <w:p>
      <w:pPr>
        <w:widowControl/>
        <w:jc w:val="both"/>
      </w:pPr>
      <w:r>
        <w:t>Frau Falk rief aus einem Taxi auf dem Weg zum Flughafen Porto an. Sie hatte am Vormittag in der Sendungsverfolgung gesehen, dass der Kurierumschlag mit der Originalvollmacht seit dem 10. Juni 2026 im Verteilzentrum Madrid liegt. Die Sendungsnummer lautet PX 440 718 392 PT.</w:t>
      </w:r>
    </w:p>
    <w:p>
      <w:pPr>
        <w:widowControl/>
        <w:jc w:val="both"/>
      </w:pPr>
      <w:r>
        <w:t>Nach ihrer Mitteilung enthält der Umschlag die vor der portugiesischen Notarin Ana Ribeiro am 3. Juni 2026 unterschriebene Vollmacht, die Apostille vom 5. Juni 2026 und eine beglaubigte Kopie ihres Reisepasses. Eine einfache Kopie des portugiesischen Adressnachweises sei ebenfalls beigefügt.</w:t>
      </w:r>
    </w:p>
    <w:p>
      <w:pPr>
        <w:pStyle w:val="Heading1"/>
      </w:pPr>
      <w:r>
        <w:t>2. Angaben zum Nachlass</w:t>
      </w:r>
    </w:p>
    <w:p>
      <w:pPr>
        <w:widowControl/>
        <w:jc w:val="both"/>
      </w:pPr>
      <w:r>
        <w:t>Frau Falk erklärte, ihr Vater Karl-Heinz Falk sei am 14. Mai 2026 im Klinikum Werra-Meißner verstorben. Sie sei das einzige Kind. Ihre Mutter Ingrid Falk sei bereits am 2. Oktober 2018 verstorben. Weitere Abkömmlinge ihres Vaters seien ihr nicht bekannt.</w:t>
      </w:r>
    </w:p>
    <w:p>
      <w:pPr>
        <w:widowControl/>
        <w:jc w:val="both"/>
      </w:pPr>
      <w:r>
        <w:t>Das Testament vom 2. März 2019 habe sie erst bei der Eröffnung am 22. Mai 2026 gesehen. Sie habe keinen Erbscheinsantrag unterschrieben. Beim Nachlassgericht sei nach ihrem Verständnis lediglich die Testamentseröffnung erfolgt.</w:t>
      </w:r>
    </w:p>
    <w:p>
      <w:pPr>
        <w:pStyle w:val="Heading1"/>
      </w:pPr>
      <w:r>
        <w:t>3. Kaufpreis und Gesellschafterdarlehen</w:t>
      </w:r>
    </w:p>
    <w:p>
      <w:pPr>
        <w:widowControl/>
        <w:jc w:val="both"/>
      </w:pPr>
      <w:r>
        <w:t>Frau Falk ging davon aus, dass der vereinbarte Kaufpreis von 1800000 Euro vollständig an sie als Erbin gezahlt werde. Auf Nachfrage erklärte sie, ihr Vater habe der Waldwinkel Immobilien GmbH im Jahr 2023 ein Darlehen gegeben. Sie habe hierzu einen Ordner mit Kontoauszügen, aber keine abschließende Saldenbestätigung.</w:t>
      </w:r>
    </w:p>
    <w:p>
      <w:pPr>
        <w:widowControl/>
        <w:jc w:val="both"/>
      </w:pPr>
      <w:r>
        <w:t>Sie erwähnte eine Überweisung der GmbH über 25000 Euro an ihren Vater vom 4. April 2026 mit dem Verwendungszweck Darlehen Teilrückzahlung. Eine Kopie des Kontoauszugs wolle sie nach ihrer Rückkehr am 15. Juni 2026 einscannen.</w:t>
      </w:r>
    </w:p>
    <w:p>
      <w:pPr>
        <w:pStyle w:val="Heading1"/>
      </w:pPr>
      <w:r>
        <w:t>4. Termin und Erreichbarkeit</w:t>
      </w:r>
    </w:p>
    <w:p>
      <w:pPr>
        <w:widowControl/>
        <w:jc w:val="both"/>
      </w:pPr>
      <w:r>
        <w:t>Frau Falk kann am 18. Juni 2026 nicht nach Deutschland reisen. Sie sei am 17. Juni 2026 ganztägig in einer Fortbildung und könne nur zwischen 13:00 Uhr und 13:30 Uhr telefonieren. Am Beurkundungstag sei sie ab 8:00 Uhr portugiesischer Zeit erreichbar.</w:t>
      </w:r>
    </w:p>
    <w:p>
      <w:pPr>
        <w:widowControl/>
        <w:jc w:val="both"/>
      </w:pPr>
      <w:r>
        <w:t>Sie bat darum, ihr jede Änderung des Kaufpreises oder der Zahlungsreihenfolge vor dem Termin per E-Mail mitzuteilen. Sie bestätigte die Adresse eva.falk@atlantic-design.pt.</w:t>
      </w:r>
    </w:p>
    <w:p>
      <w:pPr>
        <w:pStyle w:val="Heading1"/>
      </w:pPr>
      <w:r>
        <w:t>5. Nachgereichte Hinweise</w:t>
      </w:r>
    </w:p>
    <w:p>
      <w:pPr>
        <w:widowControl/>
        <w:jc w:val="both"/>
      </w:pPr>
      <w:r>
        <w:t>Frau Falk erinnerte sich an einen Brief von Felix Dorn aus März 2026, in dem dieser die Einziehung seines Geschäftsanteils beanstandet habe. Der Brief befinde sich möglicherweise im Schreibtisch ihres Vaters im Büro Marktgasse 4. Sie habe ihn selbst nicht gelesen.</w:t>
      </w:r>
    </w:p>
    <w:p>
      <w:pPr>
        <w:widowControl/>
        <w:jc w:val="both"/>
      </w:pPr>
      <w:r>
        <w:t>Zum Wegerecht am Hofgrundstück sagte sie, der Nachbar Heinrich Möller fahre mit Traktor und Lieferwagen über den gepflasterten Nordweg. Ihr Vater habe darüber mehrfach mit Herrn Möller gesprochen. Eine schriftliche Vereinbarung von 2018 müsse im roten Grundstücksordner liegen.</w:t>
      </w:r>
    </w:p>
    <w:p/>
    <w:p>
      <w:pPr>
        <w:keepLines/>
      </w:pPr>
      <w:r>
        <w:rPr>
          <w:rFonts w:ascii="Arial" w:hAnsi="Arial"/>
          <w:b/>
          <w:sz w:val="20"/>
        </w:rPr>
        <w:t>Ruth Seidel</w:t>
        <w:br/>
      </w:r>
      <w:r>
        <w:rPr>
          <w:rFonts w:ascii="Arial" w:hAnsi="Arial"/>
          <w:sz w:val="20"/>
        </w:rPr>
        <w:t>Notarfachwirtin</w:t>
        <w:br/>
      </w:r>
      <w:r>
        <w:rPr>
          <w:rFonts w:ascii="Arial" w:hAnsi="Arial"/>
          <w:sz w:val="20"/>
        </w:rPr>
        <w:t>Vermerk abgeschlossen am 12. Juni 2026, 12:34 Uhr</w:t>
      </w:r>
    </w:p>
    <w:sectPr w:rsidR="00FC693F" w:rsidRPr="0006063C" w:rsidSect="00034616">
      <w:headerReference w:type="default" r:id="rId9"/>
      <w:footerReference w:type="default" r:id="rId10"/>
      <w:pgSz w:w="11906" w:h="16838"/>
      <w:pgMar w:top="1191" w:right="1219" w:bottom="1020" w:left="1276"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7"/>
      </w:rPr>
      <w:t xml:space="preserve">Seite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192B3A"/>
        <w:sz w:val="18"/>
      </w:rPr>
      <w:t>Notarin Dr. Katharina Mertens</w:t>
    </w:r>
    <w:r>
      <w:rPr>
        <w:rFonts w:ascii="Arial" w:hAnsi="Arial"/>
        <w:color w:val="5B6770"/>
        <w:sz w:val="16"/>
      </w:rPr>
      <w:t xml:space="preserve">   |   Interne Aktennotiz · N 184/2026 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9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15B69"/>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92B3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92B3A"/>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