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Grundstückskaufvertrag</w:t>
      </w:r>
    </w:p>
    <w:p>
      <w:pPr>
        <w:spacing w:after="240"/>
      </w:pPr>
      <w:r>
        <w:rPr>
          <w:rFonts w:ascii="Arial" w:hAnsi="Arial"/>
          <w:color w:val="5B6770"/>
          <w:sz w:val="22"/>
        </w:rPr>
        <w:t>Hofgrundstück Im Feld 7, Gertenbach · Entwurfsstand 12. Juni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Urkundenrolle</w:t>
            </w:r>
          </w:p>
        </w:tc>
        <w:tc>
          <w:tcPr>
            <w:tcW w:type="dxa" w:w="7257"/>
            <w:vAlign w:val="center"/>
          </w:tcPr>
          <w:p>
            <w:pPr>
              <w:spacing w:after="0"/>
            </w:pPr>
            <w:r>
              <w:rPr>
                <w:rFonts w:ascii="Arial" w:hAnsi="Arial"/>
                <w:sz w:val="18"/>
              </w:rPr>
              <w:t>N 185/2026 M</w:t>
            </w:r>
          </w:p>
        </w:tc>
      </w:tr>
      <w:tr>
        <w:tc>
          <w:tcPr>
            <w:tcW w:type="dxa" w:w="1984"/>
            <w:vAlign w:val="center"/>
          </w:tcPr>
          <w:p>
            <w:pPr>
              <w:spacing w:after="0"/>
            </w:pPr>
            <w:r>
              <w:rPr>
                <w:rFonts w:ascii="Arial" w:hAnsi="Arial"/>
                <w:b/>
                <w:color w:val="5B6770"/>
                <w:sz w:val="18"/>
              </w:rPr>
              <w:t>Verkäuferin</w:t>
            </w:r>
          </w:p>
        </w:tc>
        <w:tc>
          <w:tcPr>
            <w:tcW w:type="dxa" w:w="7257"/>
            <w:vAlign w:val="center"/>
          </w:tcPr>
          <w:p>
            <w:pPr>
              <w:spacing w:after="0"/>
            </w:pPr>
            <w:r>
              <w:rPr>
                <w:rFonts w:ascii="Arial" w:hAnsi="Arial"/>
                <w:sz w:val="18"/>
              </w:rPr>
              <w:t>Waldwinkel Immobilien GmbH</w:t>
            </w:r>
          </w:p>
        </w:tc>
      </w:tr>
      <w:tr>
        <w:tc>
          <w:tcPr>
            <w:tcW w:type="dxa" w:w="1984"/>
            <w:vAlign w:val="center"/>
          </w:tcPr>
          <w:p>
            <w:pPr>
              <w:spacing w:after="0"/>
            </w:pPr>
            <w:r>
              <w:rPr>
                <w:rFonts w:ascii="Arial" w:hAnsi="Arial"/>
                <w:b/>
                <w:color w:val="5B6770"/>
                <w:sz w:val="18"/>
              </w:rPr>
              <w:t>Käuferin</w:t>
            </w:r>
          </w:p>
        </w:tc>
        <w:tc>
          <w:tcPr>
            <w:tcW w:type="dxa" w:w="7257"/>
            <w:vAlign w:val="center"/>
          </w:tcPr>
          <w:p>
            <w:pPr>
              <w:spacing w:after="0"/>
            </w:pPr>
            <w:r>
              <w:rPr>
                <w:rFonts w:ascii="Arial" w:hAnsi="Arial"/>
                <w:sz w:val="18"/>
              </w:rPr>
              <w:t>Aue Projekt GmbH</w:t>
            </w:r>
          </w:p>
        </w:tc>
      </w:tr>
      <w:tr>
        <w:tc>
          <w:tcPr>
            <w:tcW w:type="dxa" w:w="1984"/>
            <w:vAlign w:val="center"/>
          </w:tcPr>
          <w:p>
            <w:pPr>
              <w:spacing w:after="0"/>
            </w:pPr>
            <w:r>
              <w:rPr>
                <w:rFonts w:ascii="Arial" w:hAnsi="Arial"/>
                <w:b/>
                <w:color w:val="5B6770"/>
                <w:sz w:val="18"/>
              </w:rPr>
              <w:t>Kaufpreis</w:t>
            </w:r>
          </w:p>
        </w:tc>
        <w:tc>
          <w:tcPr>
            <w:tcW w:type="dxa" w:w="7257"/>
            <w:vAlign w:val="center"/>
          </w:tcPr>
          <w:p>
            <w:pPr>
              <w:spacing w:after="0"/>
            </w:pPr>
            <w:r>
              <w:rPr>
                <w:rFonts w:ascii="Arial" w:hAnsi="Arial"/>
                <w:sz w:val="18"/>
              </w:rPr>
              <w:t>1260000 Euro</w:t>
            </w:r>
          </w:p>
        </w:tc>
      </w:tr>
    </w:tbl>
    <w:p>
      <w:pPr>
        <w:spacing w:after="0"/>
      </w:pPr>
    </w:p>
    <w:p>
      <w:pPr>
        <w:pStyle w:val="Heading1"/>
      </w:pPr>
      <w:r>
        <w:t>1. Beteiligte</w:t>
      </w:r>
    </w:p>
    <w:p>
      <w:pPr>
        <w:widowControl/>
        <w:jc w:val="both"/>
      </w:pPr>
      <w:r>
        <w:t>Als Verkäuferin soll die Waldwinkel Immobilien GmbH, Marktgasse 4, 37213 Witzenhausen, Amtsgericht Kassel HRB 9812, vertreten durch ihre Geschäftsführerin Charlotte Falk, auftreten.</w:t>
      </w:r>
    </w:p>
    <w:p>
      <w:pPr>
        <w:widowControl/>
        <w:jc w:val="both"/>
      </w:pPr>
      <w:r>
        <w:t>Als Käuferin soll die Aue Projekt GmbH, Friedrich-Ebert-Allee 61, 34117 Kassel, Amtsgericht Kassel HRB 11140, vertreten durch ihre Geschäftsführerin Johanna Reuter, auftreten.</w:t>
      </w:r>
    </w:p>
    <w:p>
      <w:pPr>
        <w:pStyle w:val="Heading1"/>
      </w:pPr>
      <w:r>
        <w:t>2. Grundbuchstand</w:t>
      </w:r>
    </w:p>
    <w:p>
      <w:pPr>
        <w:widowControl/>
        <w:jc w:val="both"/>
      </w:pPr>
      <w:r>
        <w:t>Die Verkäuferin ist als Eigentümerin des im Grundbuch von Gertenbach Blatt 1328 eingetragenen Grundstücks Gemarkung Gertenbach, Flur 4, Flurstück 118/7, Gebäude- und Freifläche Im Feld 7, Größe 8420 Quadratmeter, eingetragen.</w:t>
      </w:r>
    </w:p>
    <w:p>
      <w:pPr>
        <w:widowControl/>
        <w:jc w:val="both"/>
      </w:pPr>
      <w:r>
        <w:t>In Abteilung II ist unter Nummer 3 ein Fahr- und Leitungsrecht zugunsten des jeweiligen Eigentümers des Flurstücks 118/6 eingetragen. In Abteilung III ist unter Nummer 2 eine Buchgrundschuld über 950000 Euro zugunsten der Nordhessischen Handelsbank AG eingetragen.</w:t>
      </w:r>
    </w:p>
    <w:p>
      <w:pPr>
        <w:pStyle w:val="Heading1"/>
      </w:pPr>
      <w:r>
        <w:t>3. Verkauf und Auflassung</w:t>
      </w:r>
    </w:p>
    <w:p>
      <w:pPr>
        <w:widowControl/>
        <w:jc w:val="both"/>
      </w:pPr>
      <w:r>
        <w:t>Die Verkäuferin verkauft das in Nummer 2 bezeichnete Grundstück mit seinen wesentlichen Bestandteilen und dem aufstehenden ehemaligen Lagergebäude an die Käuferin. Mitverkauft werden die fest installierte Heizungsanlage, die Torsteuerung und die im Lageplan blau markierten Zaunelemente.</w:t>
      </w:r>
    </w:p>
    <w:p>
      <w:pPr>
        <w:widowControl/>
        <w:jc w:val="both"/>
      </w:pPr>
      <w:r>
        <w:t>Nicht mitverkauft werden der mobile Gabelstapler, die in Halle 2 gelagerten Archivschränke und die Photovoltaikmodule auf dem südlichen Hallendach. Nach dem Mietkaufvertrag vom 19. August 2021 stehen die Module im Eigentum der Sonnenwerk Werra GmbH.</w:t>
      </w:r>
    </w:p>
    <w:p>
      <w:pPr>
        <w:widowControl/>
        <w:jc w:val="both"/>
      </w:pPr>
      <w:r>
        <w:t>Die Beteiligten sind sich über den Eigentumsübergang einig. Sie bewilligen und beantragen die Eintragung des Eigentumswechsels nach Maßgabe der noch mitzuteilenden Fälligkeitsvoraussetzungen.</w:t>
      </w:r>
    </w:p>
    <w:p>
      <w:pPr>
        <w:pStyle w:val="Heading1"/>
      </w:pPr>
      <w:r>
        <w:t>4. Kaufpreis</w:t>
      </w:r>
    </w:p>
    <w:p>
      <w:pPr>
        <w:widowControl/>
        <w:jc w:val="both"/>
      </w:pPr>
      <w:r>
        <w:t>Der Kaufpreis beträgt 1260000 Euro. Er ist zehn Bankarbeitstage nach Zugang der Fälligkeitsmitteilung der Notarin zu zahlen. Soweit die Nordhessische Handelsbank AG einen Ablösebetrag verlangt, soll dieser unmittelbar an die Bank gezahlt werden; der verbleibende Kaufpreis soll auf das Geschäftskonto der Verkäuferin IBAN DE74 5205 0353 0004 8801 72 überwiesen werden.</w:t>
      </w:r>
    </w:p>
    <w:p>
      <w:pPr>
        <w:widowControl/>
        <w:jc w:val="both"/>
      </w:pPr>
      <w:r>
        <w:t>Die Käuferin beabsichtigt, 1100000 Euro über die Weserland Bank AG und 160000 Euro aus Eigenmitteln zu finanzieren. Die Verkäuferin übernimmt keine Gewähr dafür, dass die Finanzierungsmittel zu einem bestimmten Zeitpunkt bereitstehen.</w:t>
      </w:r>
    </w:p>
    <w:p>
      <w:pPr>
        <w:pStyle w:val="Heading1"/>
      </w:pPr>
      <w:r>
        <w:t>5. Fälligkeitsvoraussetzungen</w:t>
      </w:r>
    </w:p>
    <w:p>
      <w:pPr>
        <w:widowControl/>
        <w:jc w:val="both"/>
      </w:pPr>
      <w:r>
        <w:t>Die Notarin soll die Fälligkeit mitteilen, sobald die Eigentumsvormerkung zugunsten der Käuferin eingetragen ist, die erforderliche Löschungsunterlage für die Grundschuld in Abteilung III Nummer 2 vorliegt und keine weiteren rangwahrenden Anträge erkennbar sind.</w:t>
      </w:r>
    </w:p>
    <w:p>
      <w:pPr>
        <w:widowControl/>
        <w:jc w:val="both"/>
      </w:pPr>
      <w:r>
        <w:t>Die Fälligkeitsmitteilung soll das in der Löschungsbewilligung angegebene Ablösekonto, den Ablösebetrag und den an die Verkäuferin zu zahlenden Restbetrag getrennt ausweisen.</w:t>
      </w:r>
    </w:p>
    <w:p>
      <w:pPr>
        <w:pStyle w:val="Heading1"/>
      </w:pPr>
      <w:r>
        <w:t>6. Besitz, Nutzungen und Lasten</w:t>
      </w:r>
    </w:p>
    <w:p>
      <w:pPr>
        <w:widowControl/>
        <w:jc w:val="both"/>
      </w:pPr>
      <w:r>
        <w:t>Besitz, Nutzungen, öffentliche Lasten, Verkehrssicherungspflichten und Gefahr gehen am ersten Kalendertag nach vollständiger Kaufpreiszahlung über. Die Schlüsselübergabe soll auf dem Grundstück protokolliert werden.</w:t>
      </w:r>
    </w:p>
    <w:p>
      <w:pPr>
        <w:widowControl/>
        <w:jc w:val="both"/>
      </w:pPr>
      <w:r>
        <w:t>Die Halle 1 ist bis zum 31. August 2026 an die Werra Landtechnik KG vermietet. Der Mietvertrag vom 4. Januar 2024 und die Zusatzvereinbarung vom 12. Dezember 2025 wurden der Käuferin am 6. Juni 2026 übersandt. Die Junimiete beträgt 6400 Euro zuzüglich Umsatzsteuer.</w:t>
      </w:r>
    </w:p>
    <w:p>
      <w:pPr>
        <w:pStyle w:val="Heading1"/>
      </w:pPr>
      <w:r>
        <w:t>7. Fahr- und Leitungsrecht</w:t>
      </w:r>
    </w:p>
    <w:p>
      <w:pPr>
        <w:widowControl/>
        <w:jc w:val="both"/>
      </w:pPr>
      <w:r>
        <w:t>Der Käuferin ist bekannt, dass der Eigentümer des Nachbarflurstücks 118/6 den nördlichen Zufahrtsweg nutzt. Der Verlauf des grundbuchlich gesicherten Rechts ergibt sich nicht aus dem aktuellen Bestandsverzeichnis. Die Parteien haben einen Lageplan vom 7. September 2018 erhalten, in dem ein etwa 4,2 Meter breiter Korridor gelb markiert ist.</w:t>
      </w:r>
    </w:p>
    <w:p>
      <w:pPr>
        <w:widowControl/>
        <w:jc w:val="both"/>
      </w:pPr>
      <w:r>
        <w:t>Die Verkäuferin erklärt, dass Heinrich Möller den Weg regelmäßig mit landwirtschaftlichen Fahrzeugen und Lieferwagen befährt. Vereinbarungen über Winterdienst, Unterhaltung und Kostenbeteiligung sollen sich in einem Schriftstück vom 7. September 2018 befinden, das bislang nur als unvollständige Kopie vorliegt.</w:t>
      </w:r>
    </w:p>
    <w:p>
      <w:pPr>
        <w:pStyle w:val="Heading1"/>
      </w:pPr>
      <w:r>
        <w:t>8. Zustand des Grundstücks</w:t>
      </w:r>
    </w:p>
    <w:p>
      <w:pPr>
        <w:widowControl/>
        <w:jc w:val="both"/>
      </w:pPr>
      <w:r>
        <w:t>Die Käuferin hat das Grundstück am 2. Juni 2026 mit ihrem Architekten besichtigt. Im westlichen Teil der Halle 2 sind Feuchtigkeitsspuren an der Bodenplatte dokumentiert. Ein Gutachten zur Ursache liegt nicht vor.</w:t>
      </w:r>
    </w:p>
    <w:p>
      <w:pPr>
        <w:widowControl/>
        <w:jc w:val="both"/>
      </w:pPr>
      <w:r>
        <w:t>Auf dem nordöstlichen Grundstücksteil befindet sich ein stillgelegter Heizöltank mit einem nach Angaben der Verkäuferin geschätzten Fassungsvermögen von 10000 Litern. Die letzte Prüfbescheinigung datiert vom 16. März 2017. Die Käuferin hat am 8. Juni 2026 eine Kopie erhalten.</w:t>
      </w:r>
    </w:p>
    <w:p>
      <w:pPr>
        <w:pStyle w:val="Heading1"/>
      </w:pPr>
      <w:r>
        <w:t>9. Finanzierungsvollmacht</w:t>
      </w:r>
    </w:p>
    <w:p>
      <w:pPr>
        <w:widowControl/>
        <w:jc w:val="both"/>
      </w:pPr>
      <w:r>
        <w:t>Die Verkäuferin gestattet der Käuferin, das Grundstück vor Eigentumsumschreibung mit Grundpfandrechten bis zu 1200000 Euro nebst Zinsen und Nebenleistungen zu belasten. Die Vollmacht darf nur vor der beurkundenden Notarin oder deren Vertreter ausgeübt werden.</w:t>
      </w:r>
    </w:p>
    <w:p>
      <w:pPr>
        <w:widowControl/>
        <w:jc w:val="both"/>
      </w:pPr>
      <w:r>
        <w:t>Auszahlungen aufgrund der Belastung dürfen bis zur vollständigen Kaufpreiszahlung nur an die Verkäuferin, die abzulösende Bank oder auf ein von der Notarin bezeichnetes Konto erfolgen.</w:t>
      </w:r>
    </w:p>
    <w:p>
      <w:pPr>
        <w:pStyle w:val="Heading1"/>
      </w:pPr>
      <w:r>
        <w:t>10. Kosten und Steuern</w:t>
      </w:r>
    </w:p>
    <w:p>
      <w:pPr>
        <w:widowControl/>
        <w:jc w:val="both"/>
      </w:pPr>
      <w:r>
        <w:t>Die Kosten dieser Urkunde, ihres Vollzugs und die Grunderwerbsteuer trägt die Käuferin. Kosten für die Löschung der nicht übernommenen Belastung trägt die Verkäuferin.</w:t>
      </w:r>
    </w:p>
    <w:p>
      <w:pPr>
        <w:widowControl/>
        <w:jc w:val="both"/>
      </w:pPr>
      <w:r>
        <w:t>Die Notarin wird beauftragt, die gesetzlich vorgesehenen Anzeigen zu veranlassen und die für den Vollzug erforderlichen Genehmigungen und Erklärungen einzuholen.</w:t>
      </w:r>
    </w:p>
    <w:p>
      <w:pPr>
        <w:pStyle w:val="Heading1"/>
      </w:pPr>
      <w:r>
        <w:t>11. Abschriften und Hinweise</w:t>
      </w:r>
    </w:p>
    <w:p>
      <w:pPr>
        <w:widowControl/>
        <w:jc w:val="both"/>
      </w:pPr>
      <w:r>
        <w:t>Beglaubigte Abschriften sollen die Verkäuferin, die Käuferin, das Grundbuchamt, das Finanzamt und die finanzierenden Banken erhalten, soweit dies für deren Vorgänge erforderlich ist.</w:t>
      </w:r>
    </w:p>
    <w:p>
      <w:pPr>
        <w:widowControl/>
        <w:jc w:val="both"/>
      </w:pPr>
      <w:r>
        <w:t>Die Beteiligten sollen den Vertrag einschließlich der Anlagen vor der Unterzeichnung nochmals auf die genaue Bezeichnung des Kaufgegenstands, die Zahlungswege und die fortbestehenden Rechte prüfen.</w:t>
      </w:r>
    </w:p>
    <w:p/>
    <w:p>
      <w:pPr>
        <w:keepLines/>
      </w:pPr>
      <w:r>
        <w:rPr>
          <w:rFonts w:ascii="Arial" w:hAnsi="Arial"/>
          <w:b/>
          <w:sz w:val="20"/>
        </w:rPr>
        <w:t>Entwurf zur Durchsicht</w:t>
        <w:br/>
      </w:r>
      <w:r>
        <w:rPr>
          <w:rFonts w:ascii="Arial" w:hAnsi="Arial"/>
          <w:sz w:val="20"/>
        </w:rPr>
        <w:t>Dr. Katharina Mertens, Notarin</w:t>
        <w:br/>
      </w:r>
      <w:r>
        <w:rPr>
          <w:rFonts w:ascii="Arial" w:hAnsi="Arial"/>
          <w:sz w:val="20"/>
        </w:rPr>
        <w:t>Stand: 12. Juni 2026, 14:10 Uhr</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Notarin Dr. Katharina Mertens</w:t>
    </w:r>
    <w:r>
      <w:rPr>
        <w:rFonts w:ascii="Arial" w:hAnsi="Arial"/>
        <w:color w:val="5B6770"/>
        <w:sz w:val="16"/>
      </w:rPr>
      <w:t xml:space="preserve">   |   Entwurf · N 185/2026 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